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196587367"/>
        <w:docPartObj>
          <w:docPartGallery w:val="Cover Pages"/>
          <w:docPartUnique/>
        </w:docPartObj>
      </w:sdtPr>
      <w:sdtEndPr>
        <w:rPr>
          <w:sz w:val="20"/>
          <w:szCs w:val="20"/>
        </w:rPr>
      </w:sdtEndPr>
      <w:sdtContent>
        <w:p w14:paraId="3C961EC9" w14:textId="45108712" w:rsidR="00B452D9" w:rsidRDefault="00B452D9">
          <w:r>
            <w:rPr>
              <w:noProof/>
            </w:rPr>
            <w:drawing>
              <wp:anchor distT="0" distB="0" distL="114300" distR="114300" simplePos="0" relativeHeight="251658240" behindDoc="1" locked="0" layoutInCell="1" allowOverlap="1" wp14:anchorId="261A8C24" wp14:editId="5E6F36F2">
                <wp:simplePos x="0" y="0"/>
                <wp:positionH relativeFrom="column">
                  <wp:posOffset>-934278</wp:posOffset>
                </wp:positionH>
                <wp:positionV relativeFrom="page">
                  <wp:posOffset>4508</wp:posOffset>
                </wp:positionV>
                <wp:extent cx="7803514" cy="10089649"/>
                <wp:effectExtent l="0" t="0" r="0" b="0"/>
                <wp:wrapNone/>
                <wp:docPr id="207543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32230"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7803514" cy="10089649"/>
                        </a:xfrm>
                        <a:prstGeom prst="rect">
                          <a:avLst/>
                        </a:prstGeom>
                      </pic:spPr>
                    </pic:pic>
                  </a:graphicData>
                </a:graphic>
                <wp14:sizeRelH relativeFrom="page">
                  <wp14:pctWidth>0</wp14:pctWidth>
                </wp14:sizeRelH>
                <wp14:sizeRelV relativeFrom="page">
                  <wp14:pctHeight>0</wp14:pctHeight>
                </wp14:sizeRelV>
              </wp:anchor>
            </w:drawing>
          </w:r>
        </w:p>
        <w:p w14:paraId="52495C7B" w14:textId="77777777" w:rsidR="00FA64E0" w:rsidRDefault="00B452D9" w:rsidP="00FA64E0">
          <w:pPr>
            <w:rPr>
              <w:sz w:val="20"/>
              <w:szCs w:val="20"/>
            </w:rPr>
          </w:pPr>
          <w:r>
            <w:rPr>
              <w:sz w:val="20"/>
              <w:szCs w:val="20"/>
            </w:rPr>
            <w:br w:type="page"/>
          </w:r>
        </w:p>
      </w:sdtContent>
    </w:sdt>
    <w:p w14:paraId="1C235D07" w14:textId="3E942377" w:rsidR="0072352D" w:rsidRPr="00492239" w:rsidRDefault="00C41205" w:rsidP="002F28E7">
      <w:pPr>
        <w:pStyle w:val="Default"/>
        <w:rPr>
          <w:rFonts w:ascii="Open Sans" w:hAnsi="Open Sans" w:cs="Open Sans"/>
          <w:bCs/>
          <w:color w:val="791013"/>
          <w:lang w:val="fr-CA"/>
        </w:rPr>
      </w:pPr>
      <w:r w:rsidRPr="00492239">
        <w:rPr>
          <w:rFonts w:ascii="Open Sans" w:hAnsi="Open Sans" w:cs="Open Sans"/>
          <w:bCs/>
          <w:color w:val="791013"/>
          <w:lang w:val="fr-CA"/>
        </w:rPr>
        <w:lastRenderedPageBreak/>
        <w:t>AVIS DE NON-RESPONSABILITÉ</w:t>
      </w:r>
    </w:p>
    <w:p w14:paraId="497F86AD" w14:textId="5FC1AE04" w:rsidR="00C93E63" w:rsidRPr="00C41205" w:rsidRDefault="00C41205" w:rsidP="00914B01">
      <w:pPr>
        <w:pStyle w:val="Default"/>
        <w:jc w:val="both"/>
        <w:rPr>
          <w:b/>
          <w:bCs/>
          <w:color w:val="000000" w:themeColor="text1"/>
          <w:sz w:val="20"/>
          <w:szCs w:val="20"/>
          <w:lang w:val="fr-CA"/>
        </w:rPr>
      </w:pPr>
      <w:r w:rsidRPr="00C41205">
        <w:rPr>
          <w:b/>
          <w:bCs/>
          <w:color w:val="000000" w:themeColor="text1"/>
          <w:sz w:val="20"/>
          <w:szCs w:val="20"/>
          <w:lang w:val="fr-CA"/>
        </w:rPr>
        <w:t>Chaque province ou territoire possède ses propres lignes directrices et règlements dans sa législation respective en matière de normes d’emploi. Cet outil offre un aperçu des lignes directrices générales relatives aux dispositions courantes, et vous pouvez consulter les règlements spécifiques à votre juridiction (province/territoire/fédéral).</w:t>
      </w:r>
    </w:p>
    <w:p w14:paraId="27ABB251" w14:textId="74ADC585" w:rsidR="002F28E7" w:rsidRPr="00914B01" w:rsidRDefault="00E7453A" w:rsidP="00C93E63">
      <w:pPr>
        <w:pStyle w:val="Default"/>
        <w:rPr>
          <w:rFonts w:cstheme="minorBidi"/>
          <w:b/>
          <w:bCs/>
          <w:color w:val="000000" w:themeColor="text1"/>
          <w:sz w:val="20"/>
          <w:szCs w:val="20"/>
          <w:lang w:val="fr-CA"/>
        </w:rPr>
      </w:pPr>
      <w:r>
        <w:rPr>
          <w:rFonts w:cstheme="minorBidi"/>
          <w:b/>
          <w:bCs/>
          <w:noProof/>
          <w:color w:val="000000" w:themeColor="text1"/>
          <w:sz w:val="20"/>
          <w:szCs w:val="20"/>
        </w:rPr>
        <mc:AlternateContent>
          <mc:Choice Requires="wps">
            <w:drawing>
              <wp:anchor distT="0" distB="0" distL="114300" distR="114300" simplePos="0" relativeHeight="251659264" behindDoc="0" locked="0" layoutInCell="1" allowOverlap="1" wp14:anchorId="2709B2B2" wp14:editId="7042A90D">
                <wp:simplePos x="0" y="0"/>
                <wp:positionH relativeFrom="column">
                  <wp:posOffset>1411</wp:posOffset>
                </wp:positionH>
                <wp:positionV relativeFrom="paragraph">
                  <wp:posOffset>144780</wp:posOffset>
                </wp:positionV>
                <wp:extent cx="5861154" cy="1138767"/>
                <wp:effectExtent l="12700" t="12700" r="19050" b="17145"/>
                <wp:wrapNone/>
                <wp:docPr id="882171475" name="Rectangle 1"/>
                <wp:cNvGraphicFramePr/>
                <a:graphic xmlns:a="http://schemas.openxmlformats.org/drawingml/2006/main">
                  <a:graphicData uri="http://schemas.microsoft.com/office/word/2010/wordprocessingShape">
                    <wps:wsp>
                      <wps:cNvSpPr/>
                      <wps:spPr>
                        <a:xfrm>
                          <a:off x="0" y="0"/>
                          <a:ext cx="5861154" cy="1138767"/>
                        </a:xfrm>
                        <a:prstGeom prst="rect">
                          <a:avLst/>
                        </a:prstGeom>
                        <a:solidFill>
                          <a:srgbClr val="791013"/>
                        </a:solidFill>
                        <a:ln>
                          <a:solidFill>
                            <a:srgbClr val="79101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59001E" w14:textId="77777777" w:rsidR="00E7453A" w:rsidRPr="00914B01" w:rsidRDefault="00E7453A" w:rsidP="00E7453A">
                            <w:pPr>
                              <w:spacing w:after="0"/>
                              <w:rPr>
                                <w:b/>
                                <w:bCs/>
                                <w:lang w:val="fr-CA"/>
                              </w:rPr>
                            </w:pPr>
                            <w:r w:rsidRPr="00914B01">
                              <w:rPr>
                                <w:b/>
                                <w:bCs/>
                                <w:lang w:val="fr-CA"/>
                              </w:rPr>
                              <w:t>NOTE</w:t>
                            </w:r>
                          </w:p>
                          <w:p w14:paraId="419CBCC1" w14:textId="093CE668" w:rsidR="00C41205" w:rsidRPr="00C41205" w:rsidRDefault="00C41205" w:rsidP="00914B01">
                            <w:pPr>
                              <w:jc w:val="both"/>
                              <w:rPr>
                                <w:sz w:val="21"/>
                                <w:szCs w:val="21"/>
                                <w:lang w:val="fr-CA"/>
                              </w:rPr>
                            </w:pPr>
                            <w:r w:rsidRPr="00C41205">
                              <w:rPr>
                                <w:sz w:val="21"/>
                                <w:szCs w:val="21"/>
                                <w:lang w:val="fr-CA"/>
                              </w:rPr>
                              <w:t>Cet outil est conçu comme un modèle. Tout texte entre crochets [ ] doit être personnalisé pour votre organisation et tout besoin spécifique. Assurez-vous de revoir la politique modèle dans son intégralité et d’apporter les modifications nécessaires conformément aux valeurs, aux objectifs, à l’approche et à toute politique connexe ou législation applicable à votre organisation.</w:t>
                            </w:r>
                          </w:p>
                          <w:p w14:paraId="12E74EF6" w14:textId="350212DA" w:rsidR="00E7453A" w:rsidRPr="00914B01" w:rsidRDefault="00E7453A" w:rsidP="00C93E63">
                            <w:pPr>
                              <w:rPr>
                                <w:sz w:val="21"/>
                                <w:szCs w:val="21"/>
                                <w:lang w:val="fr-C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09B2B2" id="Rectangle 1" o:spid="_x0000_s1026" style="position:absolute;margin-left:.1pt;margin-top:11.4pt;width:461.5pt;height:89.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" fillcolor="#791013" strokecolor="#791013" strokeweight="1.5pt">
                <v:textbox>
                  <w:txbxContent>
                    <w:p w14:paraId="1659001E" w14:textId="77777777" w:rsidR="00E7453A" w:rsidRPr="00914B01" w:rsidRDefault="00E7453A" w:rsidP="00E7453A">
                      <w:pPr>
                        <w:spacing w:after="0"/>
                        <w:rPr>
                          <w:b/>
                          <w:bCs/>
                          <w:lang w:val="fr-CA"/>
                        </w:rPr>
                      </w:pPr>
                      <w:r w:rsidRPr="00914B01">
                        <w:rPr>
                          <w:b/>
                          <w:bCs/>
                          <w:lang w:val="fr-CA"/>
                        </w:rPr>
                        <w:t>NOTE</w:t>
                      </w:r>
                    </w:p>
                    <w:p w14:paraId="419CBCC1" w14:textId="093CE668" w:rsidR="00C41205" w:rsidRPr="00C41205" w:rsidRDefault="00C41205" w:rsidP="00914B01">
                      <w:pPr>
                        <w:jc w:val="both"/>
                        <w:rPr>
                          <w:sz w:val="21"/>
                          <w:szCs w:val="21"/>
                          <w:lang w:val="fr-CA"/>
                        </w:rPr>
                      </w:pPr>
                      <w:r w:rsidRPr="00C41205">
                        <w:rPr>
                          <w:sz w:val="21"/>
                          <w:szCs w:val="21"/>
                          <w:lang w:val="fr-CA"/>
                        </w:rPr>
                        <w:t>Cet outil est conçu comme un modèle. Tout texte entre crochets [ ] doit être personnalisé pour votre organisation et tout besoin spécifique. Assurez-vous de revoir la politique modèle dans son intégralité et d’apporter les modifications nécessaires conformément aux valeurs, aux objectifs, à l’approche et à toute politique connexe ou législation applicable à votre organisation.</w:t>
                      </w:r>
                    </w:p>
                    <w:p w14:paraId="12E74EF6" w14:textId="350212DA" w:rsidR="00E7453A" w:rsidRPr="00914B01" w:rsidRDefault="00E7453A" w:rsidP="00C93E63">
                      <w:pPr>
                        <w:rPr>
                          <w:sz w:val="21"/>
                          <w:szCs w:val="21"/>
                          <w:lang w:val="fr-CA"/>
                        </w:rPr>
                      </w:pPr>
                    </w:p>
                  </w:txbxContent>
                </v:textbox>
              </v:rect>
            </w:pict>
          </mc:Fallback>
        </mc:AlternateContent>
      </w:r>
    </w:p>
    <w:p w14:paraId="5C42AC48" w14:textId="49C143D9" w:rsidR="002F28E7" w:rsidRPr="00914B01" w:rsidRDefault="002F28E7" w:rsidP="002F28E7">
      <w:pPr>
        <w:pStyle w:val="Default"/>
        <w:rPr>
          <w:rFonts w:cstheme="minorBidi"/>
          <w:b/>
          <w:bCs/>
          <w:color w:val="000000" w:themeColor="text1"/>
          <w:sz w:val="20"/>
          <w:szCs w:val="20"/>
          <w:lang w:val="fr-CA"/>
        </w:rPr>
      </w:pPr>
    </w:p>
    <w:p w14:paraId="51968351" w14:textId="77777777" w:rsidR="00E7453A" w:rsidRPr="00914B01" w:rsidRDefault="00E7453A" w:rsidP="002F28E7">
      <w:pPr>
        <w:pStyle w:val="Default"/>
        <w:rPr>
          <w:rFonts w:cstheme="minorBidi"/>
          <w:b/>
          <w:bCs/>
          <w:color w:val="000000" w:themeColor="text1"/>
          <w:sz w:val="20"/>
          <w:szCs w:val="20"/>
          <w:lang w:val="fr-CA"/>
        </w:rPr>
      </w:pPr>
    </w:p>
    <w:p w14:paraId="12973226" w14:textId="77777777" w:rsidR="00E7453A" w:rsidRPr="00914B01" w:rsidRDefault="00E7453A" w:rsidP="002F28E7">
      <w:pPr>
        <w:pStyle w:val="Default"/>
        <w:rPr>
          <w:rFonts w:cstheme="minorBidi"/>
          <w:b/>
          <w:bCs/>
          <w:color w:val="000000" w:themeColor="text1"/>
          <w:sz w:val="20"/>
          <w:szCs w:val="20"/>
          <w:lang w:val="fr-CA"/>
        </w:rPr>
      </w:pPr>
    </w:p>
    <w:p w14:paraId="3108BE7A" w14:textId="77777777" w:rsidR="00E7453A" w:rsidRPr="00914B01" w:rsidRDefault="00E7453A" w:rsidP="002F28E7">
      <w:pPr>
        <w:pStyle w:val="Default"/>
        <w:rPr>
          <w:rFonts w:cstheme="minorBidi"/>
          <w:b/>
          <w:bCs/>
          <w:color w:val="000000" w:themeColor="text1"/>
          <w:sz w:val="20"/>
          <w:szCs w:val="20"/>
          <w:lang w:val="fr-CA"/>
        </w:rPr>
      </w:pPr>
    </w:p>
    <w:p w14:paraId="4A7D5F79" w14:textId="77777777" w:rsidR="00E7453A" w:rsidRPr="00914B01" w:rsidRDefault="00E7453A" w:rsidP="002F28E7">
      <w:pPr>
        <w:pStyle w:val="Default"/>
        <w:rPr>
          <w:rFonts w:cstheme="minorBidi"/>
          <w:b/>
          <w:bCs/>
          <w:color w:val="000000" w:themeColor="text1"/>
          <w:sz w:val="20"/>
          <w:szCs w:val="20"/>
          <w:lang w:val="fr-CA"/>
        </w:rPr>
      </w:pPr>
    </w:p>
    <w:p w14:paraId="79C2DAFA" w14:textId="77777777" w:rsidR="00E7453A" w:rsidRPr="00914B01" w:rsidRDefault="00E7453A" w:rsidP="002F28E7">
      <w:pPr>
        <w:pStyle w:val="Default"/>
        <w:rPr>
          <w:rFonts w:cstheme="minorBidi"/>
          <w:b/>
          <w:bCs/>
          <w:color w:val="000000" w:themeColor="text1"/>
          <w:sz w:val="20"/>
          <w:szCs w:val="20"/>
          <w:lang w:val="fr-CA"/>
        </w:rPr>
      </w:pPr>
    </w:p>
    <w:p w14:paraId="16916A9F" w14:textId="77777777" w:rsidR="00E7453A" w:rsidRPr="00914B01" w:rsidRDefault="00E7453A" w:rsidP="002F28E7">
      <w:pPr>
        <w:pStyle w:val="Default"/>
        <w:rPr>
          <w:rFonts w:cstheme="minorBidi"/>
          <w:b/>
          <w:bCs/>
          <w:color w:val="000000" w:themeColor="text1"/>
          <w:sz w:val="20"/>
          <w:szCs w:val="20"/>
          <w:lang w:val="fr-CA"/>
        </w:rPr>
      </w:pPr>
    </w:p>
    <w:p w14:paraId="5A2C199E" w14:textId="77777777" w:rsidR="00C93E63" w:rsidRPr="00914B01" w:rsidRDefault="00C93E63" w:rsidP="00C93E63">
      <w:pPr>
        <w:autoSpaceDE w:val="0"/>
        <w:autoSpaceDN w:val="0"/>
        <w:adjustRightInd w:val="0"/>
        <w:spacing w:after="0" w:line="240" w:lineRule="auto"/>
        <w:rPr>
          <w:rFonts w:ascii="Times New Roman" w:hAnsi="Times New Roman" w:cs="Times New Roman"/>
          <w:color w:val="000000"/>
          <w:kern w:val="0"/>
          <w:lang w:val="fr-CA"/>
        </w:rPr>
      </w:pPr>
    </w:p>
    <w:p w14:paraId="054A5378" w14:textId="6C8F0C62" w:rsidR="00C93E63" w:rsidRPr="00492239" w:rsidRDefault="00C41205" w:rsidP="00C93E63">
      <w:pPr>
        <w:pStyle w:val="Default"/>
        <w:rPr>
          <w:rFonts w:ascii="Open Sans" w:hAnsi="Open Sans" w:cs="Open Sans"/>
          <w:bCs/>
          <w:color w:val="791013"/>
          <w:lang w:val="fr-CA"/>
        </w:rPr>
      </w:pPr>
      <w:r w:rsidRPr="00492239">
        <w:rPr>
          <w:rFonts w:ascii="Open Sans" w:hAnsi="Open Sans" w:cs="Open Sans"/>
          <w:bCs/>
          <w:color w:val="791013"/>
          <w:lang w:val="fr-CA"/>
        </w:rPr>
        <w:t>OBJET</w:t>
      </w:r>
    </w:p>
    <w:p w14:paraId="2E6A1D71" w14:textId="77777777" w:rsidR="00C41205" w:rsidRPr="00C41205" w:rsidRDefault="00C41205" w:rsidP="00914B01">
      <w:pPr>
        <w:autoSpaceDE w:val="0"/>
        <w:autoSpaceDN w:val="0"/>
        <w:adjustRightInd w:val="0"/>
        <w:spacing w:after="0" w:line="240" w:lineRule="auto"/>
        <w:jc w:val="both"/>
        <w:rPr>
          <w:rFonts w:ascii="Canva Sans" w:hAnsi="Canva Sans"/>
          <w:color w:val="000000" w:themeColor="text1"/>
          <w:kern w:val="0"/>
          <w:sz w:val="20"/>
          <w:szCs w:val="20"/>
          <w:lang w:val="fr-CA"/>
        </w:rPr>
      </w:pPr>
      <w:r w:rsidRPr="00C41205">
        <w:rPr>
          <w:rFonts w:ascii="Canva Sans" w:hAnsi="Canva Sans"/>
          <w:color w:val="000000" w:themeColor="text1"/>
          <w:kern w:val="0"/>
          <w:sz w:val="20"/>
          <w:szCs w:val="20"/>
          <w:lang w:val="fr-CA"/>
        </w:rPr>
        <w:t>[NOM DE L’EMPLOYEUR] s’engage à assurer la santé et la sécurité de ses employés et de son milieu de travail. À cette fin, [NOM DE L’EMPLOYEUR] interdit la consommation ou l’état de facultés affaiblies causées par les drogues, l’alcool ou toute autre substance altérant les facultés, qu’elle soit légale ou illégale. Les employés sous l’influence de drogues ou d’alcool au travail peuvent poser des risques graves pour leur santé et leur sécurité ainsi que celles des autres. Divers facteurs organisationnels, personnels et sociaux peuvent influencer une personne à choisir de consommer une substance. [NOM DE L’EMPLOYEUR] souhaite utiliser cette politique pour guider les personnes cherchant de l’aide en matière de dépendance et informer les employés sur la manière de gérer les situations de facultés affaiblies en milieu de travail, définir un processus cohérent lorsqu’un employé est ou semble être affaibli au travail, et réduire la stigmatisation associée à la dépendance en encourageant un espace de dialogue ouvert et honnête où les personnes se sentent en sécurité de divulguer une dépendance avant qu’un accident ou un incident ne survienne.</w:t>
      </w:r>
    </w:p>
    <w:p w14:paraId="3A0FE54B" w14:textId="77777777" w:rsidR="00C93E63" w:rsidRPr="00914B01" w:rsidRDefault="00C93E63" w:rsidP="00C93E63">
      <w:pPr>
        <w:autoSpaceDE w:val="0"/>
        <w:autoSpaceDN w:val="0"/>
        <w:adjustRightInd w:val="0"/>
        <w:spacing w:after="0" w:line="240" w:lineRule="auto"/>
        <w:rPr>
          <w:rFonts w:ascii="Times New Roman" w:hAnsi="Times New Roman" w:cs="Times New Roman"/>
          <w:color w:val="000000"/>
          <w:kern w:val="0"/>
          <w:lang w:val="fr-CA"/>
        </w:rPr>
      </w:pPr>
    </w:p>
    <w:p w14:paraId="2B2378C1" w14:textId="5987C90F" w:rsidR="00C93E63" w:rsidRPr="00492239" w:rsidRDefault="00C41205" w:rsidP="00C93E63">
      <w:pPr>
        <w:pStyle w:val="Default"/>
        <w:rPr>
          <w:rFonts w:ascii="Open Sans" w:hAnsi="Open Sans" w:cs="Open Sans"/>
          <w:bCs/>
          <w:color w:val="791013"/>
          <w:lang w:val="fr-CA"/>
        </w:rPr>
      </w:pPr>
      <w:r w:rsidRPr="00492239">
        <w:rPr>
          <w:rFonts w:ascii="Open Sans" w:hAnsi="Open Sans" w:cs="Open Sans"/>
          <w:bCs/>
          <w:color w:val="791013"/>
          <w:lang w:val="fr-CA"/>
        </w:rPr>
        <w:t>DÉFINITIONS CLÉS</w:t>
      </w:r>
    </w:p>
    <w:p w14:paraId="44987504" w14:textId="1ACE92E8" w:rsidR="00C41205" w:rsidRPr="00C41205" w:rsidRDefault="00C41205" w:rsidP="00914B01">
      <w:pPr>
        <w:pStyle w:val="Default"/>
        <w:numPr>
          <w:ilvl w:val="0"/>
          <w:numId w:val="38"/>
        </w:numPr>
        <w:jc w:val="both"/>
        <w:rPr>
          <w:sz w:val="20"/>
          <w:szCs w:val="20"/>
          <w:lang w:val="fr-CA"/>
        </w:rPr>
      </w:pPr>
      <w:r w:rsidRPr="00C41205">
        <w:rPr>
          <w:b/>
          <w:bCs/>
          <w:sz w:val="20"/>
          <w:szCs w:val="20"/>
          <w:lang w:val="fr-CA"/>
        </w:rPr>
        <w:t>Alcool :</w:t>
      </w:r>
      <w:r w:rsidRPr="00C41205">
        <w:rPr>
          <w:sz w:val="20"/>
          <w:szCs w:val="20"/>
          <w:lang w:val="fr-CA"/>
        </w:rPr>
        <w:t xml:space="preserve"> Toute boisson contenant une quelconque quantité d’alcool, y compris la bière, le vin et les spiritueux.</w:t>
      </w:r>
    </w:p>
    <w:p w14:paraId="27CDF4BE" w14:textId="77777777" w:rsidR="00C41205" w:rsidRPr="00C41205" w:rsidRDefault="00C41205" w:rsidP="00914B01">
      <w:pPr>
        <w:pStyle w:val="Default"/>
        <w:numPr>
          <w:ilvl w:val="0"/>
          <w:numId w:val="38"/>
        </w:numPr>
        <w:jc w:val="both"/>
        <w:rPr>
          <w:sz w:val="20"/>
          <w:szCs w:val="20"/>
          <w:lang w:val="fr-CA"/>
        </w:rPr>
      </w:pPr>
      <w:r w:rsidRPr="00C41205">
        <w:rPr>
          <w:b/>
          <w:bCs/>
          <w:sz w:val="20"/>
          <w:szCs w:val="20"/>
          <w:lang w:val="fr-CA"/>
        </w:rPr>
        <w:t>Drogue :</w:t>
      </w:r>
      <w:r w:rsidRPr="00C41205">
        <w:rPr>
          <w:sz w:val="20"/>
          <w:szCs w:val="20"/>
          <w:lang w:val="fr-CA"/>
        </w:rPr>
        <w:t xml:space="preserve"> Toute substance pouvant modifier ou affecter négativement la façon dont une personne pense ou ressent, qu’elle soit obtenue légalement ou illégalement. Cela inclut le cannabis récréatif, la cocaïne, les opiacés, les amphétamines, ainsi que les médicaments sur ordonnance ou en vente libre.</w:t>
      </w:r>
    </w:p>
    <w:p w14:paraId="2332F225" w14:textId="77777777" w:rsidR="00C41205" w:rsidRPr="00C41205" w:rsidRDefault="00C41205" w:rsidP="00914B01">
      <w:pPr>
        <w:pStyle w:val="Default"/>
        <w:numPr>
          <w:ilvl w:val="0"/>
          <w:numId w:val="38"/>
        </w:numPr>
        <w:jc w:val="both"/>
        <w:rPr>
          <w:sz w:val="20"/>
          <w:szCs w:val="20"/>
          <w:lang w:val="fr-CA"/>
        </w:rPr>
      </w:pPr>
      <w:r w:rsidRPr="00C41205">
        <w:rPr>
          <w:b/>
          <w:bCs/>
          <w:sz w:val="20"/>
          <w:szCs w:val="20"/>
          <w:lang w:val="fr-CA"/>
        </w:rPr>
        <w:t>Accessoires de consommation de drogues :</w:t>
      </w:r>
      <w:r w:rsidRPr="00C41205">
        <w:rPr>
          <w:sz w:val="20"/>
          <w:szCs w:val="20"/>
          <w:lang w:val="fr-CA"/>
        </w:rPr>
        <w:t xml:space="preserve"> Matériel ou équipement utilisé ou destiné à être utilisé pour injecter, ingérer, inhaler ou autrement introduire une drogue, illégale ou contrôlée, dans l’organisme.</w:t>
      </w:r>
    </w:p>
    <w:p w14:paraId="7480361A" w14:textId="77777777" w:rsidR="00C41205" w:rsidRPr="00C41205" w:rsidRDefault="00C41205" w:rsidP="00914B01">
      <w:pPr>
        <w:pStyle w:val="Default"/>
        <w:numPr>
          <w:ilvl w:val="0"/>
          <w:numId w:val="38"/>
        </w:numPr>
        <w:jc w:val="both"/>
        <w:rPr>
          <w:sz w:val="20"/>
          <w:szCs w:val="20"/>
          <w:lang w:val="fr-CA"/>
        </w:rPr>
      </w:pPr>
      <w:r w:rsidRPr="00C41205">
        <w:rPr>
          <w:b/>
          <w:bCs/>
          <w:sz w:val="20"/>
          <w:szCs w:val="20"/>
          <w:lang w:val="fr-CA"/>
        </w:rPr>
        <w:t>Aptitude au travail (apte au travail) :</w:t>
      </w:r>
      <w:r w:rsidRPr="00C41205">
        <w:rPr>
          <w:sz w:val="20"/>
          <w:szCs w:val="20"/>
          <w:lang w:val="fr-CA"/>
        </w:rPr>
        <w:t xml:space="preserve"> Être mentalement, physiquement et psychologiquement capable d’exécuter ses tâches professionnelles de manière sécuritaire et compétente.</w:t>
      </w:r>
    </w:p>
    <w:p w14:paraId="75A87A47" w14:textId="77777777" w:rsidR="00C41205" w:rsidRPr="00C41205" w:rsidRDefault="00C41205" w:rsidP="00914B01">
      <w:pPr>
        <w:pStyle w:val="Default"/>
        <w:numPr>
          <w:ilvl w:val="0"/>
          <w:numId w:val="38"/>
        </w:numPr>
        <w:jc w:val="both"/>
        <w:rPr>
          <w:sz w:val="20"/>
          <w:szCs w:val="20"/>
          <w:lang w:val="fr-CA"/>
        </w:rPr>
      </w:pPr>
      <w:r w:rsidRPr="00C41205">
        <w:rPr>
          <w:b/>
          <w:bCs/>
          <w:sz w:val="20"/>
          <w:szCs w:val="20"/>
          <w:lang w:val="fr-CA"/>
        </w:rPr>
        <w:t>Médicament :</w:t>
      </w:r>
      <w:r w:rsidRPr="00C41205">
        <w:rPr>
          <w:sz w:val="20"/>
          <w:szCs w:val="20"/>
          <w:lang w:val="fr-CA"/>
        </w:rPr>
        <w:t xml:space="preserve"> Inclut un médicament obtenu légalement, en vente libre ou sur ordonnance. Pour cette politique, les médicaments visés sont ceux qui peuvent nuire à la capacité d’un employé à effectuer son travail de façon sécuritaire et productive.</w:t>
      </w:r>
    </w:p>
    <w:p w14:paraId="117E132F" w14:textId="62246022" w:rsidR="00C41205" w:rsidRPr="00C41205" w:rsidRDefault="00C41205" w:rsidP="00914B01">
      <w:pPr>
        <w:pStyle w:val="Default"/>
        <w:numPr>
          <w:ilvl w:val="0"/>
          <w:numId w:val="38"/>
        </w:numPr>
        <w:jc w:val="both"/>
        <w:rPr>
          <w:b/>
          <w:bCs/>
          <w:sz w:val="20"/>
          <w:szCs w:val="20"/>
          <w:lang w:val="fr-CA"/>
        </w:rPr>
      </w:pPr>
      <w:r w:rsidRPr="00C41205">
        <w:rPr>
          <w:b/>
          <w:bCs/>
          <w:sz w:val="20"/>
          <w:szCs w:val="20"/>
          <w:lang w:val="fr-CA"/>
        </w:rPr>
        <w:t xml:space="preserve">Lieu de travail : </w:t>
      </w:r>
      <w:r w:rsidRPr="00C41205">
        <w:rPr>
          <w:sz w:val="20"/>
          <w:szCs w:val="20"/>
          <w:lang w:val="fr-CA"/>
        </w:rPr>
        <w:t>Inclut tout endroit où des tâches professionnelles sont effectuées, ce qui peut inclure les propriétés appartenant ou louées par [NOM DE L’EMPLOYEUR], les espaces de télétravail ou à domicile, les événements liés au travail, les formations, les déplacements professionnels ou toute interaction avec la clientèle ou le public, que ce soit par téléphone, courriel, vidéoconférence, en personne ou tout autre moyen.</w:t>
      </w:r>
    </w:p>
    <w:p w14:paraId="5B714974" w14:textId="2CB2BF8D" w:rsidR="00C93E63" w:rsidRPr="00914B01" w:rsidRDefault="00C93E63" w:rsidP="00C41205">
      <w:pPr>
        <w:pStyle w:val="Default"/>
        <w:ind w:left="720"/>
        <w:rPr>
          <w:rFonts w:ascii="Times New Roman" w:hAnsi="Times New Roman" w:cs="Times New Roman"/>
          <w:lang w:val="fr-CA"/>
        </w:rPr>
      </w:pPr>
    </w:p>
    <w:p w14:paraId="2E90E439" w14:textId="77777777" w:rsidR="00492239" w:rsidRDefault="00492239" w:rsidP="00C93E63">
      <w:pPr>
        <w:pStyle w:val="Default"/>
        <w:rPr>
          <w:rFonts w:ascii="Times New Roman" w:hAnsi="Times New Roman" w:cs="Times New Roman"/>
          <w:bCs/>
          <w:color w:val="791013"/>
          <w:lang w:val="fr-CA"/>
        </w:rPr>
      </w:pPr>
    </w:p>
    <w:p w14:paraId="05A73E80" w14:textId="1BDAA8F8" w:rsidR="00C93E63" w:rsidRPr="00492239" w:rsidRDefault="00C862DC" w:rsidP="00C93E63">
      <w:pPr>
        <w:pStyle w:val="Default"/>
        <w:rPr>
          <w:rFonts w:ascii="Open Sans" w:hAnsi="Open Sans" w:cs="Open Sans"/>
          <w:bCs/>
          <w:color w:val="791013"/>
          <w:lang w:val="fr-CA"/>
        </w:rPr>
      </w:pPr>
      <w:r w:rsidRPr="00492239">
        <w:rPr>
          <w:rFonts w:ascii="Open Sans" w:hAnsi="Open Sans" w:cs="Open Sans"/>
          <w:bCs/>
          <w:color w:val="791013"/>
          <w:lang w:val="fr-CA"/>
        </w:rPr>
        <w:t>ADMISSIBILITÉ</w:t>
      </w:r>
    </w:p>
    <w:p w14:paraId="6830B553" w14:textId="6D8EFF8E" w:rsidR="00C862DC" w:rsidRPr="00C862DC" w:rsidRDefault="00C862DC" w:rsidP="00914B01">
      <w:pPr>
        <w:autoSpaceDE w:val="0"/>
        <w:autoSpaceDN w:val="0"/>
        <w:adjustRightInd w:val="0"/>
        <w:spacing w:after="0" w:line="240" w:lineRule="auto"/>
        <w:jc w:val="both"/>
        <w:rPr>
          <w:sz w:val="20"/>
          <w:szCs w:val="20"/>
          <w:lang w:val="fr-CA"/>
        </w:rPr>
      </w:pPr>
      <w:r w:rsidRPr="00C862DC">
        <w:rPr>
          <w:sz w:val="20"/>
          <w:szCs w:val="20"/>
          <w:lang w:val="fr-CA"/>
        </w:rPr>
        <w:t>Cette politique s’applique à tous les employés de [NOM DE L’EMPLOYEUR] sur le lieu de travail, lorsque l’employé effectue des activités professionnelles ailleurs, lors de déplacements liés au travail et/ou lors de la participation à des événements parrainés par [NOM DE L’EMPLOYEUR], peu importe l’endroit, ou lorsqu’il exerce ses fonctions par téléphone, courriel ou vidéoconférence.</w:t>
      </w:r>
    </w:p>
    <w:p w14:paraId="381D2FC6" w14:textId="2FA929DD" w:rsidR="00C862DC" w:rsidRPr="00914B01" w:rsidRDefault="00C862DC" w:rsidP="00C93E63">
      <w:pPr>
        <w:autoSpaceDE w:val="0"/>
        <w:autoSpaceDN w:val="0"/>
        <w:adjustRightInd w:val="0"/>
        <w:spacing w:after="0" w:line="240" w:lineRule="auto"/>
        <w:rPr>
          <w:sz w:val="20"/>
          <w:szCs w:val="20"/>
          <w:lang w:val="fr-CA"/>
        </w:rPr>
      </w:pPr>
    </w:p>
    <w:p w14:paraId="7F0E585A" w14:textId="49F485E1" w:rsidR="00C93E63" w:rsidRPr="00492239" w:rsidRDefault="00C862DC" w:rsidP="00C93E63">
      <w:pPr>
        <w:pStyle w:val="Default"/>
        <w:rPr>
          <w:rFonts w:ascii="Open Sans" w:hAnsi="Open Sans" w:cs="Open Sans"/>
          <w:bCs/>
          <w:color w:val="791013"/>
          <w:lang w:val="fr-CA"/>
        </w:rPr>
      </w:pPr>
      <w:r w:rsidRPr="00492239">
        <w:rPr>
          <w:rFonts w:ascii="Open Sans" w:hAnsi="Open Sans" w:cs="Open Sans"/>
          <w:bCs/>
          <w:color w:val="791013"/>
          <w:lang w:val="fr-CA"/>
        </w:rPr>
        <w:t>RESPONSABILITÉS</w:t>
      </w:r>
    </w:p>
    <w:p w14:paraId="6E4CC7A4" w14:textId="77777777" w:rsidR="00C862DC" w:rsidRPr="00C862DC" w:rsidRDefault="00C862DC" w:rsidP="00914B01">
      <w:pPr>
        <w:autoSpaceDE w:val="0"/>
        <w:autoSpaceDN w:val="0"/>
        <w:adjustRightInd w:val="0"/>
        <w:spacing w:after="0" w:line="240" w:lineRule="auto"/>
        <w:jc w:val="both"/>
        <w:rPr>
          <w:rFonts w:ascii="Canva Sans" w:hAnsi="Canva Sans"/>
          <w:b/>
          <w:bCs/>
          <w:kern w:val="0"/>
          <w:sz w:val="20"/>
          <w:szCs w:val="20"/>
          <w:lang w:val="fr-CA"/>
        </w:rPr>
      </w:pPr>
      <w:r w:rsidRPr="00C862DC">
        <w:rPr>
          <w:rFonts w:ascii="Canva Sans" w:hAnsi="Canva Sans"/>
          <w:b/>
          <w:bCs/>
          <w:kern w:val="0"/>
          <w:sz w:val="20"/>
          <w:szCs w:val="20"/>
          <w:lang w:val="fr-CA"/>
        </w:rPr>
        <w:t xml:space="preserve">L’employeur est responsable de : </w:t>
      </w:r>
      <w:r w:rsidRPr="00C862DC">
        <w:rPr>
          <w:rFonts w:ascii="Canva Sans" w:hAnsi="Canva Sans"/>
          <w:kern w:val="0"/>
          <w:sz w:val="20"/>
          <w:szCs w:val="20"/>
          <w:lang w:val="fr-CA"/>
        </w:rPr>
        <w:t>préparer, mettre en œuvre et revoir cette politique afin de s’assurer qu’elle demeure conforme aux exigences légales, utile et pertinente pour les employés.</w:t>
      </w:r>
    </w:p>
    <w:p w14:paraId="3AFE2691" w14:textId="77777777" w:rsidR="00C93E63" w:rsidRPr="00914B01" w:rsidRDefault="00C93E63" w:rsidP="00C93E63">
      <w:pPr>
        <w:autoSpaceDE w:val="0"/>
        <w:autoSpaceDN w:val="0"/>
        <w:adjustRightInd w:val="0"/>
        <w:spacing w:after="0" w:line="240" w:lineRule="auto"/>
        <w:rPr>
          <w:rFonts w:ascii="Canva Sans" w:hAnsi="Canva Sans"/>
          <w:kern w:val="0"/>
          <w:sz w:val="20"/>
          <w:szCs w:val="20"/>
          <w:lang w:val="fr-CA"/>
        </w:rPr>
      </w:pPr>
    </w:p>
    <w:p w14:paraId="32313084" w14:textId="77777777" w:rsidR="00C862DC" w:rsidRPr="00C862DC" w:rsidRDefault="00C862DC" w:rsidP="00914B01">
      <w:pPr>
        <w:autoSpaceDE w:val="0"/>
        <w:autoSpaceDN w:val="0"/>
        <w:adjustRightInd w:val="0"/>
        <w:spacing w:after="0" w:line="240" w:lineRule="auto"/>
        <w:jc w:val="both"/>
        <w:rPr>
          <w:rFonts w:ascii="Canva Sans" w:hAnsi="Canva Sans"/>
          <w:b/>
          <w:bCs/>
          <w:kern w:val="0"/>
          <w:sz w:val="20"/>
          <w:szCs w:val="20"/>
          <w:lang w:val="fr-CA"/>
        </w:rPr>
      </w:pPr>
      <w:r w:rsidRPr="00C862DC">
        <w:rPr>
          <w:rFonts w:ascii="Canva Sans" w:hAnsi="Canva Sans"/>
          <w:b/>
          <w:bCs/>
          <w:kern w:val="0"/>
          <w:sz w:val="20"/>
          <w:szCs w:val="20"/>
          <w:lang w:val="fr-CA"/>
        </w:rPr>
        <w:t xml:space="preserve">Le superviseur est chargé de : </w:t>
      </w:r>
      <w:r w:rsidRPr="00C862DC">
        <w:rPr>
          <w:rFonts w:ascii="Canva Sans" w:hAnsi="Canva Sans"/>
          <w:kern w:val="0"/>
          <w:sz w:val="20"/>
          <w:szCs w:val="20"/>
          <w:lang w:val="fr-CA"/>
        </w:rPr>
        <w:t>s’assurer que cette politique est communiquée et respectée par les employés; que ceux-ci disposent du temps et de l’espace nécessaires pour la comprendre et poser des questions; et d’appliquer la politique de manière équitable et cohérente. Les superviseurs sont également responsables de traiter les situations d’affaiblissement en respectant la dignité et la vie privée des employés.</w:t>
      </w:r>
    </w:p>
    <w:p w14:paraId="12D333B2" w14:textId="77777777" w:rsidR="00C93E63" w:rsidRPr="00914B01" w:rsidRDefault="00C93E63" w:rsidP="00C93E63">
      <w:pPr>
        <w:autoSpaceDE w:val="0"/>
        <w:autoSpaceDN w:val="0"/>
        <w:adjustRightInd w:val="0"/>
        <w:spacing w:after="0" w:line="240" w:lineRule="auto"/>
        <w:rPr>
          <w:rFonts w:ascii="Canva Sans" w:hAnsi="Canva Sans"/>
          <w:kern w:val="0"/>
          <w:sz w:val="20"/>
          <w:szCs w:val="20"/>
          <w:lang w:val="fr-CA"/>
        </w:rPr>
      </w:pPr>
    </w:p>
    <w:p w14:paraId="3D1A9643" w14:textId="77777777" w:rsidR="00C862DC" w:rsidRPr="00C862DC" w:rsidRDefault="00C862DC" w:rsidP="00C862DC">
      <w:pPr>
        <w:autoSpaceDE w:val="0"/>
        <w:autoSpaceDN w:val="0"/>
        <w:adjustRightInd w:val="0"/>
        <w:spacing w:after="0" w:line="240" w:lineRule="auto"/>
        <w:rPr>
          <w:rFonts w:ascii="Canva Sans" w:hAnsi="Canva Sans"/>
          <w:b/>
          <w:bCs/>
          <w:kern w:val="0"/>
          <w:sz w:val="20"/>
          <w:szCs w:val="20"/>
          <w:lang w:val="fr-CA"/>
        </w:rPr>
      </w:pPr>
      <w:r w:rsidRPr="00C862DC">
        <w:rPr>
          <w:rFonts w:ascii="Canva Sans" w:hAnsi="Canva Sans"/>
          <w:b/>
          <w:bCs/>
          <w:kern w:val="0"/>
          <w:sz w:val="20"/>
          <w:szCs w:val="20"/>
          <w:lang w:val="fr-CA"/>
        </w:rPr>
        <w:t>L’employé est responsable de :</w:t>
      </w:r>
    </w:p>
    <w:p w14:paraId="74F70D28" w14:textId="70F33D79" w:rsidR="00C862DC" w:rsidRPr="00C862DC" w:rsidRDefault="00C862DC" w:rsidP="00C862DC">
      <w:p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Se conformer à cette politique et :</w:t>
      </w:r>
    </w:p>
    <w:p w14:paraId="7AF7DEC0"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Se présenter au travail apte au travail et le demeurer en tout temps pendant sa présence au travail ou lors de l’exécution de ses tâches professionnelles;</w:t>
      </w:r>
    </w:p>
    <w:p w14:paraId="12296211"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Travailler de manière sécuritaire en tout temps;</w:t>
      </w:r>
    </w:p>
    <w:p w14:paraId="58A3D275"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S’abstenir de consommer, vendre ou distribuer des drogues, de l’alcool ou des accessoires de consommation de drogues sur les lieux de travail de [NOM DE L’EMPLOYEUR] et pendant les heures de travail;</w:t>
      </w:r>
    </w:p>
    <w:p w14:paraId="1FCDB9C2"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Lorsqu’il est en dehors des heures de travail, refuser toute demande de se présenter au travail s’il n’est pas apte au travail;</w:t>
      </w:r>
    </w:p>
    <w:p w14:paraId="325C067E"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Informer un superviseur de tout affaiblissement causé par un médicament prescrit afin d’identifier les risques pour la santé et la sécurité;</w:t>
      </w:r>
    </w:p>
    <w:p w14:paraId="0F71E066"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Informer respectueusement le superviseur lorsqu’un collègue n’est pas apte au travail ou semble affaibli;</w:t>
      </w:r>
    </w:p>
    <w:p w14:paraId="1EBA6D9E"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Chercher des conseils et un traitement approprié lorsque nécessaire;</w:t>
      </w:r>
    </w:p>
    <w:p w14:paraId="710C0197" w14:textId="77777777" w:rsidR="00C862DC" w:rsidRPr="00C862DC" w:rsidRDefault="00C862DC" w:rsidP="00914B01">
      <w:pPr>
        <w:numPr>
          <w:ilvl w:val="0"/>
          <w:numId w:val="46"/>
        </w:numPr>
        <w:autoSpaceDE w:val="0"/>
        <w:autoSpaceDN w:val="0"/>
        <w:adjustRightInd w:val="0"/>
        <w:spacing w:after="0" w:line="240" w:lineRule="auto"/>
        <w:jc w:val="both"/>
        <w:rPr>
          <w:rFonts w:ascii="Canva Sans" w:hAnsi="Canva Sans"/>
          <w:kern w:val="0"/>
          <w:sz w:val="20"/>
          <w:szCs w:val="20"/>
          <w:lang w:val="fr-CA"/>
        </w:rPr>
      </w:pPr>
      <w:r w:rsidRPr="00C862DC">
        <w:rPr>
          <w:rFonts w:ascii="Canva Sans" w:hAnsi="Canva Sans"/>
          <w:kern w:val="0"/>
          <w:sz w:val="20"/>
          <w:szCs w:val="20"/>
          <w:lang w:val="fr-CA"/>
        </w:rPr>
        <w:t>Communiquer toute dépendance afin d’assurer la santé et la sécurité des autres et d’obtenir du soutien.</w:t>
      </w:r>
    </w:p>
    <w:p w14:paraId="4979829F" w14:textId="77777777" w:rsidR="00C93E63" w:rsidRPr="00914B01" w:rsidRDefault="00C93E63" w:rsidP="00C93E63">
      <w:pPr>
        <w:autoSpaceDE w:val="0"/>
        <w:autoSpaceDN w:val="0"/>
        <w:adjustRightInd w:val="0"/>
        <w:spacing w:after="0" w:line="240" w:lineRule="auto"/>
        <w:rPr>
          <w:rFonts w:ascii="Times New Roman" w:hAnsi="Times New Roman" w:cs="Times New Roman"/>
          <w:color w:val="000000"/>
          <w:kern w:val="0"/>
          <w:lang w:val="fr-CA"/>
        </w:rPr>
      </w:pPr>
    </w:p>
    <w:p w14:paraId="576DA970" w14:textId="2CFF7ECC" w:rsidR="00C93E63" w:rsidRPr="00492239" w:rsidRDefault="00341AF4" w:rsidP="00C93E63">
      <w:pPr>
        <w:pStyle w:val="Default"/>
        <w:rPr>
          <w:rFonts w:ascii="Open Sans" w:hAnsi="Open Sans" w:cs="Open Sans"/>
          <w:bCs/>
          <w:color w:val="791013"/>
          <w:lang w:val="fr-CA"/>
        </w:rPr>
      </w:pPr>
      <w:r w:rsidRPr="00492239">
        <w:rPr>
          <w:rFonts w:ascii="Open Sans" w:hAnsi="Open Sans" w:cs="Open Sans"/>
          <w:bCs/>
          <w:color w:val="791013"/>
          <w:lang w:val="fr-CA"/>
        </w:rPr>
        <w:t>POLITIQUE</w:t>
      </w:r>
    </w:p>
    <w:p w14:paraId="015F4476" w14:textId="77777777" w:rsidR="00341AF4" w:rsidRPr="00341AF4" w:rsidRDefault="00341AF4" w:rsidP="00914B01">
      <w:pPr>
        <w:autoSpaceDE w:val="0"/>
        <w:autoSpaceDN w:val="0"/>
        <w:adjustRightInd w:val="0"/>
        <w:spacing w:after="0" w:line="240" w:lineRule="auto"/>
        <w:jc w:val="both"/>
        <w:rPr>
          <w:rFonts w:ascii="Canva Sans" w:hAnsi="Canva Sans"/>
          <w:kern w:val="0"/>
          <w:sz w:val="20"/>
          <w:szCs w:val="20"/>
          <w:lang w:val="fr-CA"/>
        </w:rPr>
      </w:pPr>
      <w:r w:rsidRPr="00341AF4">
        <w:rPr>
          <w:rFonts w:ascii="Canva Sans" w:hAnsi="Canva Sans"/>
          <w:kern w:val="0"/>
          <w:sz w:val="20"/>
          <w:szCs w:val="20"/>
          <w:lang w:val="fr-CA"/>
        </w:rPr>
        <w:t>[NOM DE L’EMPLOYEUR] met en place des procédures appuyant l’interdiction de l’usage ou de l’état d’affaiblissement causé par les drogues, l’alcool ou toute autre substance altérant les facultés, qu’elle soit légale ou illégale. Ces procédures comprennent des directives pour les superviseurs lorsqu’ils soupçonnent qu’un employé est affaibli par des drogues ou de l’alcool. Elles comprennent également des mesures pour les employés vivant avec une dépendance ou des problématiques liées à des médicaments ou à des conditions médicales. Ces procédures sont présentées dans la section « Procédure ».</w:t>
      </w:r>
    </w:p>
    <w:p w14:paraId="3ED20D0D"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1B4B8FAE" w14:textId="77777777" w:rsidR="00341AF4" w:rsidRPr="00341AF4" w:rsidRDefault="00341AF4" w:rsidP="00914B01">
      <w:pPr>
        <w:autoSpaceDE w:val="0"/>
        <w:autoSpaceDN w:val="0"/>
        <w:adjustRightInd w:val="0"/>
        <w:spacing w:after="0" w:line="240" w:lineRule="auto"/>
        <w:jc w:val="both"/>
        <w:rPr>
          <w:rFonts w:ascii="Canva Sans" w:hAnsi="Canva Sans"/>
          <w:kern w:val="0"/>
          <w:sz w:val="20"/>
          <w:szCs w:val="20"/>
          <w:lang w:val="fr-CA"/>
        </w:rPr>
      </w:pPr>
      <w:r w:rsidRPr="00341AF4">
        <w:rPr>
          <w:rFonts w:ascii="Canva Sans" w:hAnsi="Canva Sans"/>
          <w:kern w:val="0"/>
          <w:sz w:val="20"/>
          <w:szCs w:val="20"/>
          <w:lang w:val="fr-CA"/>
        </w:rPr>
        <w:t>Bien que l’usage ou l’état d’affaiblissement causé par les drogues, l’alcool et d’accessoires de consommation de drogues soit interdit au travail, cette politique ne vise pas à pénaliser les personnes vivant avec une dépendance ou un handicap. Les employés sont encouragés à divulguer toute dépendance afin que le superviseur et l’employeur puissent intervenir en tenant compte du bien-être de l’employé, de la santé et de la sécurité des autres, ainsi que de la réputation de l’organisation.</w:t>
      </w:r>
    </w:p>
    <w:p w14:paraId="3CD3D0FD"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25055E64" w14:textId="77777777" w:rsidR="00341AF4" w:rsidRPr="00341AF4" w:rsidRDefault="00341AF4" w:rsidP="00914B01">
      <w:pPr>
        <w:autoSpaceDE w:val="0"/>
        <w:autoSpaceDN w:val="0"/>
        <w:adjustRightInd w:val="0"/>
        <w:spacing w:after="0" w:line="240" w:lineRule="auto"/>
        <w:jc w:val="both"/>
        <w:rPr>
          <w:rFonts w:ascii="Canva Sans" w:hAnsi="Canva Sans"/>
          <w:kern w:val="0"/>
          <w:sz w:val="20"/>
          <w:szCs w:val="20"/>
          <w:lang w:val="fr-CA"/>
        </w:rPr>
      </w:pPr>
      <w:r w:rsidRPr="00341AF4">
        <w:rPr>
          <w:rFonts w:ascii="Canva Sans" w:hAnsi="Canva Sans"/>
          <w:kern w:val="0"/>
          <w:sz w:val="20"/>
          <w:szCs w:val="20"/>
          <w:lang w:val="fr-CA"/>
        </w:rPr>
        <w:t>[NOM DE L’EMPLOYEUR] reconnaît l’importance d’aborder les enjeux de dépendance avec respect et dignité, en reconnaissant qu’une personne n’est pas définie par sa dépendance, mais qu’elle peut en être affectée et nécessiter du soutien pour retrouver un bien-être holistique. [NOM DE L’EMPLOYEUR] s’engage à favoriser un dialogue ouvert, à écouter et à soutenir les employés en leur offrant des ressources et des mesures d’accompagnement.</w:t>
      </w:r>
    </w:p>
    <w:p w14:paraId="5A02EC0E"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3D26CB19" w14:textId="77777777" w:rsidR="00341AF4" w:rsidRPr="00341AF4" w:rsidRDefault="00341AF4" w:rsidP="00914B01">
      <w:pPr>
        <w:autoSpaceDE w:val="0"/>
        <w:autoSpaceDN w:val="0"/>
        <w:adjustRightInd w:val="0"/>
        <w:spacing w:after="0" w:line="240" w:lineRule="auto"/>
        <w:jc w:val="both"/>
        <w:rPr>
          <w:rFonts w:ascii="Canva Sans" w:hAnsi="Canva Sans"/>
          <w:kern w:val="0"/>
          <w:sz w:val="20"/>
          <w:szCs w:val="20"/>
          <w:lang w:val="fr-CA"/>
        </w:rPr>
      </w:pPr>
      <w:r w:rsidRPr="00341AF4">
        <w:rPr>
          <w:rFonts w:ascii="Canva Sans" w:hAnsi="Canva Sans"/>
          <w:kern w:val="0"/>
          <w:sz w:val="20"/>
          <w:szCs w:val="20"/>
          <w:lang w:val="fr-CA"/>
        </w:rPr>
        <w:t xml:space="preserve">Pour les employés qui ne souhaitent pas s’adresser à leur superviseur ou aux ressources humaines mais qui ont besoin d’aide immédiate peuvent consulter les services publics de santé mentale disponibles au Canada : </w:t>
      </w:r>
      <w:hyperlink r:id="rId8" w:history="1">
        <w:r w:rsidRPr="00341AF4">
          <w:rPr>
            <w:rStyle w:val="Hyperlink"/>
            <w:rFonts w:ascii="Canva Sans" w:hAnsi="Canva Sans"/>
            <w:color w:val="EE0000"/>
            <w:kern w:val="0"/>
            <w:sz w:val="20"/>
            <w:szCs w:val="20"/>
            <w:lang w:val="fr-CA"/>
          </w:rPr>
          <w:t>Obtenir du soutien en matière de santé mentale - Canada.ca</w:t>
        </w:r>
      </w:hyperlink>
    </w:p>
    <w:p w14:paraId="144A5B25"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039764D9" w14:textId="77777777" w:rsidR="00341AF4" w:rsidRPr="00341AF4" w:rsidRDefault="00341AF4" w:rsidP="00914B01">
      <w:pPr>
        <w:autoSpaceDE w:val="0"/>
        <w:autoSpaceDN w:val="0"/>
        <w:adjustRightInd w:val="0"/>
        <w:spacing w:after="0" w:line="240" w:lineRule="auto"/>
        <w:jc w:val="both"/>
        <w:rPr>
          <w:rFonts w:ascii="Canva Sans" w:hAnsi="Canva Sans"/>
          <w:kern w:val="0"/>
          <w:sz w:val="20"/>
          <w:szCs w:val="20"/>
          <w:lang w:val="fr-CA"/>
        </w:rPr>
      </w:pPr>
      <w:r w:rsidRPr="00341AF4">
        <w:rPr>
          <w:rFonts w:ascii="Canva Sans" w:hAnsi="Canva Sans"/>
          <w:kern w:val="0"/>
          <w:sz w:val="20"/>
          <w:szCs w:val="20"/>
          <w:lang w:val="fr-CA"/>
        </w:rPr>
        <w:t xml:space="preserve">Cette politique est encadrée par la législation applicable en matière de santé et sécurité au travail ainsi que par les lois sur les droits de la personne (p. ex. Code canadien du travail ou lois provinciales/territoriales applicables). Il est recommandé de se référer à la législation propre à votre juridiction (provinciale, territoriale ou fédérale), incluant notamment le </w:t>
      </w:r>
      <w:hyperlink r:id="rId9" w:history="1">
        <w:r w:rsidRPr="00341AF4">
          <w:rPr>
            <w:rStyle w:val="Hyperlink"/>
            <w:rFonts w:ascii="Canva Sans" w:hAnsi="Canva Sans"/>
            <w:color w:val="EE0000"/>
            <w:kern w:val="0"/>
            <w:sz w:val="20"/>
            <w:szCs w:val="20"/>
            <w:lang w:val="fr-CA"/>
          </w:rPr>
          <w:t>Code canadien du travail</w:t>
        </w:r>
      </w:hyperlink>
      <w:r w:rsidRPr="00341AF4">
        <w:rPr>
          <w:rFonts w:ascii="Canva Sans" w:hAnsi="Canva Sans"/>
          <w:kern w:val="0"/>
          <w:sz w:val="20"/>
          <w:szCs w:val="20"/>
          <w:lang w:val="fr-CA"/>
        </w:rPr>
        <w:t xml:space="preserve"> lorsque pertinent. </w:t>
      </w:r>
    </w:p>
    <w:p w14:paraId="64DBC6C0" w14:textId="77777777" w:rsidR="00C93E63" w:rsidRPr="00914B01" w:rsidRDefault="00C93E63" w:rsidP="00C93E63">
      <w:pPr>
        <w:autoSpaceDE w:val="0"/>
        <w:autoSpaceDN w:val="0"/>
        <w:adjustRightInd w:val="0"/>
        <w:spacing w:after="0" w:line="240" w:lineRule="auto"/>
        <w:rPr>
          <w:rFonts w:ascii="Times New Roman" w:hAnsi="Times New Roman" w:cs="Times New Roman"/>
          <w:color w:val="000000"/>
          <w:kern w:val="0"/>
          <w:lang w:val="fr-CA"/>
        </w:rPr>
      </w:pPr>
    </w:p>
    <w:p w14:paraId="657DF5D9" w14:textId="3982B125" w:rsidR="00C93E63" w:rsidRPr="00492239" w:rsidRDefault="00341AF4" w:rsidP="00C93E63">
      <w:pPr>
        <w:pStyle w:val="Default"/>
        <w:rPr>
          <w:rFonts w:ascii="Open Sans" w:hAnsi="Open Sans" w:cs="Open Sans"/>
          <w:bCs/>
          <w:color w:val="791013"/>
          <w:lang w:val="fr-CA"/>
        </w:rPr>
      </w:pPr>
      <w:r w:rsidRPr="00492239">
        <w:rPr>
          <w:rFonts w:ascii="Open Sans" w:hAnsi="Open Sans" w:cs="Open Sans"/>
          <w:bCs/>
          <w:color w:val="791013"/>
          <w:lang w:val="fr-CA"/>
        </w:rPr>
        <w:t xml:space="preserve">PROCÉDURE </w:t>
      </w:r>
    </w:p>
    <w:p w14:paraId="46F19A8F" w14:textId="347C3294" w:rsidR="00341AF4" w:rsidRPr="00341AF4" w:rsidRDefault="00341AF4" w:rsidP="00341AF4">
      <w:pPr>
        <w:pStyle w:val="Default"/>
        <w:rPr>
          <w:b/>
          <w:bCs/>
          <w:sz w:val="20"/>
          <w:szCs w:val="21"/>
          <w:lang w:val="fr-CA"/>
        </w:rPr>
      </w:pPr>
      <w:r w:rsidRPr="00341AF4">
        <w:rPr>
          <w:b/>
          <w:bCs/>
          <w:sz w:val="20"/>
          <w:szCs w:val="21"/>
          <w:lang w:val="fr-CA"/>
        </w:rPr>
        <w:t>AFFAIBLISSEMENT AU TRAVAIL</w:t>
      </w:r>
    </w:p>
    <w:p w14:paraId="77417A42" w14:textId="77777777" w:rsidR="00341AF4" w:rsidRPr="00341AF4" w:rsidRDefault="00341AF4" w:rsidP="00914B01">
      <w:pPr>
        <w:pStyle w:val="Default"/>
        <w:jc w:val="both"/>
        <w:rPr>
          <w:bCs/>
          <w:sz w:val="20"/>
          <w:szCs w:val="20"/>
          <w:lang w:val="fr-CA"/>
        </w:rPr>
      </w:pPr>
      <w:r w:rsidRPr="00341AF4">
        <w:rPr>
          <w:bCs/>
          <w:sz w:val="20"/>
          <w:szCs w:val="20"/>
          <w:lang w:val="fr-CA"/>
        </w:rPr>
        <w:t>Les employés doivent se présenter au travail et y demeurer sobres, que ce soit sur les lieux de travail, en télétravail ou dans tout autre contexte de travail. [NOM DE L’EMPLOYEUR] s’attend à ce que tout employé vivant une dépendance ou une dépendance émergente en informe son superviseur ou les ressources humaines dès que possible afin de mettre en place les mesures appropriées.</w:t>
      </w:r>
    </w:p>
    <w:p w14:paraId="13582BC6" w14:textId="77777777" w:rsidR="00C93E63" w:rsidRPr="00914B01" w:rsidRDefault="00C93E63" w:rsidP="00C93E63">
      <w:pPr>
        <w:pStyle w:val="Default"/>
        <w:rPr>
          <w:rFonts w:cstheme="minorBidi"/>
          <w:color w:val="auto"/>
          <w:sz w:val="20"/>
          <w:szCs w:val="20"/>
          <w:lang w:val="fr-CA"/>
        </w:rPr>
      </w:pPr>
    </w:p>
    <w:p w14:paraId="687D0F48" w14:textId="77777777" w:rsidR="00341AF4" w:rsidRPr="00341AF4" w:rsidRDefault="00341AF4" w:rsidP="00914B01">
      <w:pPr>
        <w:pStyle w:val="Default"/>
        <w:spacing w:after="1"/>
        <w:jc w:val="both"/>
        <w:rPr>
          <w:b/>
          <w:bCs/>
          <w:sz w:val="20"/>
          <w:szCs w:val="20"/>
          <w:lang w:val="fr-CA"/>
        </w:rPr>
      </w:pPr>
      <w:r w:rsidRPr="00341AF4">
        <w:rPr>
          <w:b/>
          <w:bCs/>
          <w:sz w:val="20"/>
          <w:szCs w:val="20"/>
          <w:lang w:val="fr-CA"/>
        </w:rPr>
        <w:t>Lorsqu’il existe des motifs raisonnables de croire qu’un employé est affaibli, les étapes suivantes doivent être appliquées :</w:t>
      </w:r>
    </w:p>
    <w:p w14:paraId="6D6006F9" w14:textId="77777777" w:rsidR="00C93E63" w:rsidRPr="00914B01" w:rsidRDefault="00C93E63" w:rsidP="00C93E63">
      <w:pPr>
        <w:pStyle w:val="Default"/>
        <w:spacing w:after="1"/>
        <w:rPr>
          <w:rFonts w:cstheme="minorBidi"/>
          <w:color w:val="auto"/>
          <w:sz w:val="20"/>
          <w:szCs w:val="20"/>
          <w:lang w:val="fr-CA"/>
        </w:rPr>
      </w:pPr>
    </w:p>
    <w:p w14:paraId="2AE96073" w14:textId="77777777" w:rsidR="00341AF4" w:rsidRPr="00341AF4" w:rsidRDefault="00341AF4" w:rsidP="00914B01">
      <w:pPr>
        <w:pStyle w:val="Default"/>
        <w:numPr>
          <w:ilvl w:val="0"/>
          <w:numId w:val="47"/>
        </w:numPr>
        <w:jc w:val="both"/>
        <w:rPr>
          <w:bCs/>
          <w:sz w:val="20"/>
          <w:szCs w:val="20"/>
          <w:lang w:val="fr-CA"/>
        </w:rPr>
      </w:pPr>
      <w:r w:rsidRPr="00341AF4">
        <w:rPr>
          <w:bCs/>
          <w:sz w:val="20"/>
          <w:szCs w:val="20"/>
          <w:lang w:val="fr-CA"/>
        </w:rPr>
        <w:t>Le superviseur doit obtenir un deuxième avis en discutant de la situation en privé afin de respecter la confidentialité.</w:t>
      </w:r>
    </w:p>
    <w:p w14:paraId="5625E8E1" w14:textId="77777777" w:rsidR="00341AF4" w:rsidRPr="00341AF4" w:rsidRDefault="00341AF4" w:rsidP="00914B01">
      <w:pPr>
        <w:pStyle w:val="Default"/>
        <w:numPr>
          <w:ilvl w:val="0"/>
          <w:numId w:val="47"/>
        </w:numPr>
        <w:jc w:val="both"/>
        <w:rPr>
          <w:bCs/>
          <w:sz w:val="20"/>
          <w:szCs w:val="20"/>
          <w:lang w:val="fr-CA"/>
        </w:rPr>
      </w:pPr>
      <w:r w:rsidRPr="00341AF4">
        <w:rPr>
          <w:bCs/>
          <w:sz w:val="20"/>
          <w:szCs w:val="20"/>
          <w:lang w:val="fr-CA"/>
        </w:rPr>
        <w:t xml:space="preserve">Le superviseur rencontre l’employé en privé afin de déterminer la cause du comportement observé. Si l’employé est visiblement affaibli et présente un risque pour lui-même ou pour les autres, il est immédiatement retiré de ses fonctions et ne peut reprendre le travail jusqu’à nouvel ordre. Les signes d’affaiblissement peuvent inclure : </w:t>
      </w:r>
    </w:p>
    <w:p w14:paraId="0763D60F" w14:textId="77777777" w:rsidR="00341AF4" w:rsidRPr="00341AF4" w:rsidRDefault="00341AF4" w:rsidP="00914B01">
      <w:pPr>
        <w:pStyle w:val="Default"/>
        <w:numPr>
          <w:ilvl w:val="0"/>
          <w:numId w:val="49"/>
        </w:numPr>
        <w:jc w:val="both"/>
        <w:rPr>
          <w:bCs/>
          <w:sz w:val="20"/>
          <w:szCs w:val="20"/>
          <w:lang w:val="fr-CA"/>
        </w:rPr>
      </w:pPr>
      <w:r w:rsidRPr="00341AF4">
        <w:rPr>
          <w:bCs/>
          <w:sz w:val="20"/>
          <w:szCs w:val="20"/>
          <w:lang w:val="fr-CA"/>
        </w:rPr>
        <w:t>difficulté d’élocution</w:t>
      </w:r>
    </w:p>
    <w:p w14:paraId="1C17BA85" w14:textId="77777777" w:rsidR="00341AF4" w:rsidRPr="00341AF4" w:rsidRDefault="00341AF4" w:rsidP="00914B01">
      <w:pPr>
        <w:pStyle w:val="Default"/>
        <w:numPr>
          <w:ilvl w:val="0"/>
          <w:numId w:val="49"/>
        </w:numPr>
        <w:jc w:val="both"/>
        <w:rPr>
          <w:bCs/>
          <w:sz w:val="20"/>
          <w:szCs w:val="20"/>
          <w:lang w:val="fr-CA"/>
        </w:rPr>
      </w:pPr>
      <w:r w:rsidRPr="00341AF4">
        <w:rPr>
          <w:bCs/>
          <w:sz w:val="20"/>
          <w:szCs w:val="20"/>
          <w:lang w:val="fr-CA"/>
        </w:rPr>
        <w:t>perte d’équilibre</w:t>
      </w:r>
    </w:p>
    <w:p w14:paraId="555B3537" w14:textId="77777777" w:rsidR="00341AF4" w:rsidRPr="00341AF4" w:rsidRDefault="00341AF4" w:rsidP="00914B01">
      <w:pPr>
        <w:pStyle w:val="Default"/>
        <w:numPr>
          <w:ilvl w:val="0"/>
          <w:numId w:val="49"/>
        </w:numPr>
        <w:jc w:val="both"/>
        <w:rPr>
          <w:bCs/>
          <w:sz w:val="20"/>
          <w:szCs w:val="20"/>
          <w:lang w:val="fr-CA"/>
        </w:rPr>
      </w:pPr>
      <w:r w:rsidRPr="00341AF4">
        <w:rPr>
          <w:bCs/>
          <w:sz w:val="20"/>
          <w:szCs w:val="20"/>
          <w:lang w:val="fr-CA"/>
        </w:rPr>
        <w:t>yeux rouges ou larmoyants</w:t>
      </w:r>
    </w:p>
    <w:p w14:paraId="271561F6" w14:textId="77777777" w:rsidR="00341AF4" w:rsidRPr="00341AF4" w:rsidRDefault="00341AF4" w:rsidP="00914B01">
      <w:pPr>
        <w:pStyle w:val="Default"/>
        <w:numPr>
          <w:ilvl w:val="0"/>
          <w:numId w:val="49"/>
        </w:numPr>
        <w:jc w:val="both"/>
        <w:rPr>
          <w:bCs/>
          <w:sz w:val="20"/>
          <w:szCs w:val="20"/>
          <w:lang w:val="fr-CA"/>
        </w:rPr>
      </w:pPr>
      <w:r w:rsidRPr="00341AF4">
        <w:rPr>
          <w:bCs/>
          <w:sz w:val="20"/>
          <w:szCs w:val="20"/>
          <w:lang w:val="fr-CA"/>
        </w:rPr>
        <w:t>pupilles dilatées</w:t>
      </w:r>
    </w:p>
    <w:p w14:paraId="7A5BF22E" w14:textId="77777777" w:rsidR="00341AF4" w:rsidRPr="00341AF4" w:rsidRDefault="00341AF4" w:rsidP="00914B01">
      <w:pPr>
        <w:pStyle w:val="Default"/>
        <w:numPr>
          <w:ilvl w:val="0"/>
          <w:numId w:val="49"/>
        </w:numPr>
        <w:jc w:val="both"/>
        <w:rPr>
          <w:bCs/>
          <w:sz w:val="20"/>
          <w:szCs w:val="20"/>
          <w:lang w:val="fr-CA"/>
        </w:rPr>
      </w:pPr>
      <w:r w:rsidRPr="00341AF4">
        <w:rPr>
          <w:bCs/>
          <w:sz w:val="20"/>
          <w:szCs w:val="20"/>
          <w:lang w:val="fr-CA"/>
        </w:rPr>
        <w:t>odeur d’alcool ou de cannabis.</w:t>
      </w:r>
    </w:p>
    <w:p w14:paraId="3466CA6B" w14:textId="77777777" w:rsidR="00341AF4" w:rsidRPr="00341AF4" w:rsidRDefault="00341AF4" w:rsidP="00914B01">
      <w:pPr>
        <w:pStyle w:val="Default"/>
        <w:numPr>
          <w:ilvl w:val="0"/>
          <w:numId w:val="47"/>
        </w:numPr>
        <w:jc w:val="both"/>
        <w:rPr>
          <w:bCs/>
          <w:sz w:val="20"/>
          <w:szCs w:val="20"/>
          <w:lang w:val="fr-CA"/>
        </w:rPr>
      </w:pPr>
      <w:r w:rsidRPr="00341AF4">
        <w:rPr>
          <w:bCs/>
          <w:sz w:val="20"/>
          <w:szCs w:val="20"/>
          <w:lang w:val="fr-CA"/>
        </w:rPr>
        <w:t>Si l’employé est jugé affaibli, [deux superviseurs ou, dans le cas d’organisations de plus petite taille, le directeur général et le président du conseil d’administration, ou encore le chef et un Aîné, ou un membre du conseil, etc.] doivent discuter de la situation de l’employé et déterminer s’il est apte au travail; il n’est pas nécessaire de recourir à un alcootest ou à un test sanguin pour établir l’aptitude de l’employé à exercer ses fonctions</w:t>
      </w:r>
    </w:p>
    <w:p w14:paraId="66704083" w14:textId="77777777" w:rsidR="00341AF4" w:rsidRPr="00341AF4" w:rsidRDefault="00341AF4" w:rsidP="00914B01">
      <w:pPr>
        <w:pStyle w:val="Default"/>
        <w:numPr>
          <w:ilvl w:val="0"/>
          <w:numId w:val="47"/>
        </w:numPr>
        <w:jc w:val="both"/>
        <w:rPr>
          <w:bCs/>
          <w:sz w:val="20"/>
          <w:szCs w:val="20"/>
          <w:lang w:val="fr-CA"/>
        </w:rPr>
      </w:pPr>
      <w:r w:rsidRPr="00341AF4">
        <w:rPr>
          <w:bCs/>
          <w:sz w:val="20"/>
          <w:szCs w:val="20"/>
          <w:lang w:val="fr-CA"/>
        </w:rPr>
        <w:t xml:space="preserve">Un service de taxi ou de navette payé par [NOM DE L’EMPLOYEUR] sera organisé pour un employé jugé inapte au travail afin de le ramener à son domicile ou de le conduire vers un établissement médical. L’employé peut être accompagné par un superviseur si nécessaire. Alternativement, si l’employé souhaite communiquer avec un ami ou un membre de sa famille pour obtenir du soutien et du transport, le superviseur peut faciliter cette démarche. Les membres de la famille, amis ou autres membres de la </w:t>
      </w:r>
      <w:r w:rsidRPr="00341AF4">
        <w:rPr>
          <w:bCs/>
          <w:sz w:val="20"/>
          <w:szCs w:val="20"/>
          <w:lang w:val="fr-CA"/>
        </w:rPr>
        <w:lastRenderedPageBreak/>
        <w:t>communauté ne doivent pas être contactés sans le consentement explicite de l’employé, afin de préserver sa vie privée et la confidentialité.</w:t>
      </w:r>
    </w:p>
    <w:p w14:paraId="7B67D307" w14:textId="77777777" w:rsidR="00341AF4" w:rsidRPr="00341AF4" w:rsidRDefault="00341AF4" w:rsidP="00914B01">
      <w:pPr>
        <w:pStyle w:val="Default"/>
        <w:numPr>
          <w:ilvl w:val="0"/>
          <w:numId w:val="47"/>
        </w:numPr>
        <w:jc w:val="both"/>
        <w:rPr>
          <w:bCs/>
          <w:sz w:val="20"/>
          <w:szCs w:val="20"/>
          <w:lang w:val="fr-CA"/>
        </w:rPr>
      </w:pPr>
      <w:r w:rsidRPr="00341AF4">
        <w:rPr>
          <w:bCs/>
          <w:sz w:val="20"/>
          <w:szCs w:val="20"/>
          <w:lang w:val="fr-CA"/>
        </w:rPr>
        <w:t>Un employé en état d’affaiblissement ne sera pas autorisé à conduire ni à utiliser tout type de véhicule ou de moyen de transport (p. ex. motocyclette, bicyclette, trottinette, etc.). Si l’employé refuse le service de taxi ou de navette et décide de conduire son véhicule personnel, le superviseur doit contacter les services policiers afin de les informer de la situation.</w:t>
      </w:r>
    </w:p>
    <w:p w14:paraId="5917B3E5" w14:textId="77777777" w:rsidR="00341AF4" w:rsidRPr="00341AF4" w:rsidRDefault="00341AF4" w:rsidP="00914B01">
      <w:pPr>
        <w:pStyle w:val="Default"/>
        <w:numPr>
          <w:ilvl w:val="0"/>
          <w:numId w:val="47"/>
        </w:numPr>
        <w:jc w:val="both"/>
        <w:rPr>
          <w:bCs/>
          <w:sz w:val="20"/>
          <w:szCs w:val="20"/>
          <w:lang w:val="fr-CA"/>
        </w:rPr>
      </w:pPr>
      <w:r w:rsidRPr="00341AF4">
        <w:rPr>
          <w:bCs/>
          <w:sz w:val="20"/>
          <w:szCs w:val="20"/>
          <w:lang w:val="fr-CA"/>
        </w:rPr>
        <w:t>Une rencontre sera planifiée lors de la prochaine journée de travail de l’employé afin d’examiner l’incident et de déterminer les mesures à prendre, y compris les interventions possibles ou les plans de traitement recommandés.</w:t>
      </w:r>
    </w:p>
    <w:p w14:paraId="6241CBE4" w14:textId="77777777" w:rsidR="00ED264E" w:rsidRPr="00914B01" w:rsidRDefault="00ED264E" w:rsidP="00914B01">
      <w:pPr>
        <w:pStyle w:val="Default"/>
        <w:jc w:val="both"/>
        <w:rPr>
          <w:rFonts w:cstheme="minorBidi"/>
          <w:color w:val="auto"/>
          <w:sz w:val="20"/>
          <w:szCs w:val="20"/>
          <w:lang w:val="fr-CA"/>
        </w:rPr>
      </w:pPr>
    </w:p>
    <w:p w14:paraId="3F217EC6" w14:textId="77777777" w:rsidR="00341AF4" w:rsidRPr="00341AF4" w:rsidRDefault="00341AF4" w:rsidP="00914B01">
      <w:pPr>
        <w:autoSpaceDE w:val="0"/>
        <w:autoSpaceDN w:val="0"/>
        <w:adjustRightInd w:val="0"/>
        <w:spacing w:after="0" w:line="240" w:lineRule="auto"/>
        <w:jc w:val="both"/>
        <w:rPr>
          <w:rFonts w:ascii="Canva Sans" w:hAnsi="Canva Sans"/>
          <w:bCs/>
          <w:kern w:val="0"/>
          <w:sz w:val="20"/>
          <w:szCs w:val="20"/>
          <w:lang w:val="fr-CA"/>
        </w:rPr>
      </w:pPr>
      <w:r w:rsidRPr="00341AF4">
        <w:rPr>
          <w:rFonts w:ascii="Canva Sans" w:hAnsi="Canva Sans"/>
          <w:bCs/>
          <w:kern w:val="0"/>
          <w:sz w:val="20"/>
          <w:szCs w:val="20"/>
          <w:lang w:val="fr-CA"/>
        </w:rPr>
        <w:t>L’employé doit participer activement aux démarches et mesures mises en place pour pouvoir reprendre le travail dans des conditions sécuritaires.</w:t>
      </w:r>
    </w:p>
    <w:p w14:paraId="580AE6F9" w14:textId="77777777" w:rsidR="00ED264E" w:rsidRPr="00914B01" w:rsidRDefault="00ED264E" w:rsidP="00ED264E">
      <w:pPr>
        <w:autoSpaceDE w:val="0"/>
        <w:autoSpaceDN w:val="0"/>
        <w:adjustRightInd w:val="0"/>
        <w:spacing w:after="0" w:line="240" w:lineRule="auto"/>
        <w:rPr>
          <w:rFonts w:ascii="Times New Roman" w:hAnsi="Times New Roman" w:cs="Times New Roman"/>
          <w:color w:val="000000"/>
          <w:kern w:val="0"/>
          <w:lang w:val="fr-CA"/>
        </w:rPr>
      </w:pPr>
    </w:p>
    <w:p w14:paraId="2BF39915" w14:textId="78266F70" w:rsidR="00ED264E" w:rsidRPr="00492239" w:rsidRDefault="00341AF4" w:rsidP="00ED264E">
      <w:pPr>
        <w:pStyle w:val="Default"/>
        <w:rPr>
          <w:rFonts w:ascii="Open Sans" w:hAnsi="Open Sans" w:cs="Open Sans"/>
          <w:bCs/>
          <w:color w:val="791013"/>
          <w:lang w:val="fr-CA"/>
        </w:rPr>
      </w:pPr>
      <w:r w:rsidRPr="00492239">
        <w:rPr>
          <w:rFonts w:ascii="Open Sans" w:hAnsi="Open Sans" w:cs="Open Sans"/>
          <w:bCs/>
          <w:color w:val="791013"/>
          <w:lang w:val="fr-CA"/>
        </w:rPr>
        <w:t>POSSESSION ET DÉPENDENCES</w:t>
      </w:r>
    </w:p>
    <w:p w14:paraId="3B44913F" w14:textId="77777777" w:rsidR="00ED264E" w:rsidRPr="00914B01" w:rsidRDefault="00ED264E" w:rsidP="00ED264E">
      <w:pPr>
        <w:pStyle w:val="Default"/>
        <w:rPr>
          <w:rFonts w:cstheme="minorBidi"/>
          <w:b/>
          <w:bCs/>
          <w:color w:val="auto"/>
          <w:sz w:val="20"/>
          <w:szCs w:val="21"/>
          <w:lang w:val="fr-CA"/>
        </w:rPr>
      </w:pPr>
      <w:r w:rsidRPr="00914B01">
        <w:rPr>
          <w:rFonts w:cstheme="minorBidi"/>
          <w:b/>
          <w:bCs/>
          <w:color w:val="auto"/>
          <w:sz w:val="20"/>
          <w:szCs w:val="21"/>
          <w:lang w:val="fr-CA"/>
        </w:rPr>
        <w:t xml:space="preserve">POSSESSION </w:t>
      </w:r>
    </w:p>
    <w:p w14:paraId="19E671EC" w14:textId="77777777" w:rsidR="00341AF4" w:rsidRPr="00341AF4" w:rsidRDefault="00341AF4" w:rsidP="00914B01">
      <w:pPr>
        <w:pStyle w:val="Default"/>
        <w:jc w:val="both"/>
        <w:rPr>
          <w:bCs/>
          <w:sz w:val="20"/>
          <w:szCs w:val="20"/>
          <w:lang w:val="fr-CA"/>
        </w:rPr>
      </w:pPr>
      <w:r w:rsidRPr="00341AF4">
        <w:rPr>
          <w:bCs/>
          <w:sz w:val="20"/>
          <w:szCs w:val="20"/>
          <w:lang w:val="fr-CA"/>
        </w:rPr>
        <w:t>La possession d’alcool, de drogues illicites et d’accessoires de consommation de drogues est interdit dans les lieux de travail de [NOM DE L’EMPLOYEUR], y compris toutes les propriétés appartenant à l’organisation ou louées par celle-ci et utilisées par les employés, telles que les aires de stationnement, les véhicules, les casiers, les bureaux et les espaces de rangement.  La possession d’alcool, de drogues et d’accessoires de consommation de drogues est également interdite lorsque les employés agissent au nom de l’organisation à l’extérieur des locaux de [NOM DE L’EMPLOYEUR]. Cela comprend notamment la participation à des événements externes à titre de représentant de l’organisation, ainsi que la participation à des formations, qu’elles soient en personne ou en vidéoconférence.</w:t>
      </w:r>
    </w:p>
    <w:p w14:paraId="7CA16F71" w14:textId="77777777" w:rsidR="00ED264E" w:rsidRPr="00914B01" w:rsidRDefault="00ED264E" w:rsidP="00ED264E">
      <w:pPr>
        <w:pStyle w:val="Default"/>
        <w:rPr>
          <w:rFonts w:cstheme="minorBidi"/>
          <w:color w:val="auto"/>
          <w:sz w:val="20"/>
          <w:szCs w:val="20"/>
          <w:lang w:val="fr-CA"/>
        </w:rPr>
      </w:pPr>
    </w:p>
    <w:p w14:paraId="17FDEDCC" w14:textId="6382237E" w:rsidR="00ED264E" w:rsidRPr="00341AF4" w:rsidRDefault="00341AF4" w:rsidP="00ED264E">
      <w:pPr>
        <w:pStyle w:val="Default"/>
        <w:rPr>
          <w:b/>
          <w:bCs/>
          <w:sz w:val="20"/>
          <w:szCs w:val="20"/>
          <w:lang w:val="fr-CA"/>
        </w:rPr>
      </w:pPr>
      <w:r w:rsidRPr="00341AF4">
        <w:rPr>
          <w:b/>
          <w:bCs/>
          <w:sz w:val="20"/>
          <w:szCs w:val="20"/>
          <w:lang w:val="fr-CA"/>
        </w:rPr>
        <w:t>DÉPENDANCE AUX SUBSTANCES</w:t>
      </w:r>
    </w:p>
    <w:p w14:paraId="216A8A57" w14:textId="77777777" w:rsidR="00341AF4" w:rsidRPr="00341AF4" w:rsidRDefault="00341AF4" w:rsidP="00914B01">
      <w:pPr>
        <w:pStyle w:val="Default"/>
        <w:jc w:val="both"/>
        <w:rPr>
          <w:bCs/>
          <w:sz w:val="20"/>
          <w:szCs w:val="20"/>
          <w:lang w:val="fr-CA"/>
        </w:rPr>
      </w:pPr>
      <w:r w:rsidRPr="00341AF4">
        <w:rPr>
          <w:bCs/>
          <w:sz w:val="20"/>
          <w:szCs w:val="20"/>
          <w:lang w:val="fr-CA"/>
        </w:rPr>
        <w:t>[NOM DE L’EMPLOYEUR] reconnaît que certaines personnes peuvent développer une dépendance à certaines drogues, à l’alcool ou à d’autres substances altérant les facultés. Ces employés peuvent être atteints d’une maladie ou d’un handicap. Bien que les employés soient tenus d’accomplir leurs fonctions, [NOM DE L’EMPLOYEUR] offre des mesures d’adaptation aux employés ayant besoin d’aide en matière de dépendance et de consommation de substances, celles-ci étant reconnues comme des motifs protégés en vertu de la législation sur les droits de la personne.</w:t>
      </w:r>
    </w:p>
    <w:p w14:paraId="2F015A20" w14:textId="77777777" w:rsidR="00ED264E" w:rsidRPr="00914B01" w:rsidRDefault="00ED264E" w:rsidP="00ED264E">
      <w:pPr>
        <w:pStyle w:val="Default"/>
        <w:rPr>
          <w:rFonts w:cstheme="minorBidi"/>
          <w:color w:val="auto"/>
          <w:sz w:val="20"/>
          <w:szCs w:val="20"/>
          <w:lang w:val="fr-CA"/>
        </w:rPr>
      </w:pPr>
    </w:p>
    <w:p w14:paraId="29F639B7" w14:textId="77777777" w:rsidR="00341AF4" w:rsidRPr="00341AF4" w:rsidRDefault="00341AF4" w:rsidP="00341AF4">
      <w:pPr>
        <w:pStyle w:val="Default"/>
        <w:rPr>
          <w:b/>
          <w:bCs/>
          <w:sz w:val="20"/>
          <w:szCs w:val="20"/>
          <w:lang w:val="fr-CA"/>
        </w:rPr>
      </w:pPr>
      <w:r w:rsidRPr="00341AF4">
        <w:rPr>
          <w:b/>
          <w:bCs/>
          <w:sz w:val="20"/>
          <w:szCs w:val="20"/>
          <w:lang w:val="fr-CA"/>
        </w:rPr>
        <w:t>DIVULGATION VOLONTAIRE</w:t>
      </w:r>
    </w:p>
    <w:p w14:paraId="4E379AF3" w14:textId="77777777" w:rsidR="00341AF4" w:rsidRPr="00341AF4" w:rsidRDefault="00341AF4" w:rsidP="00914B01">
      <w:pPr>
        <w:pStyle w:val="Default"/>
        <w:jc w:val="both"/>
        <w:rPr>
          <w:b/>
          <w:sz w:val="20"/>
          <w:szCs w:val="20"/>
          <w:lang w:val="fr-CA"/>
        </w:rPr>
      </w:pPr>
      <w:r w:rsidRPr="00341AF4">
        <w:rPr>
          <w:bCs/>
          <w:sz w:val="20"/>
          <w:szCs w:val="20"/>
          <w:lang w:val="fr-CA"/>
        </w:rPr>
        <w:t>La dépendance aux drogues et à l’alcool est reconnue comme un handicap. Les handicaps constituent l’un des motifs protégés en vertu de la législation sur les droits de la personne; par conséquent, [NOM DE L’EMPLOYEUR] offrira des mesures d’adaptation pour toute dépendance liée aux drogues ou à l’alcool. De plus, les employés sont encouragés à divulguer toute dépendance, passée ou actuelle, afin que leurs droits soient protégés et qu’ils puissent bénéficier de mesures d’adaptation appropriées. Aucun employé ne fera l’objet de mesures disciplinaires pour avoir demandé de l’aide ou en raison d’une participation actuelle ou passée à un programme de réadaptation.  C’est dans un esprit de respect, de dignité et de confiance que les employés vivant avec une dépendance peuvent trouver du soutien, tant au sein du milieu de travail que dans la communauté.</w:t>
      </w:r>
    </w:p>
    <w:p w14:paraId="1D5ED835" w14:textId="77777777" w:rsidR="00ED264E" w:rsidRPr="00914B01" w:rsidRDefault="00ED264E" w:rsidP="00ED264E">
      <w:pPr>
        <w:pStyle w:val="Default"/>
        <w:rPr>
          <w:rFonts w:cstheme="minorBidi"/>
          <w:color w:val="auto"/>
          <w:sz w:val="20"/>
          <w:szCs w:val="20"/>
          <w:lang w:val="fr-CA"/>
        </w:rPr>
      </w:pPr>
    </w:p>
    <w:p w14:paraId="4402C153" w14:textId="2C7B0096" w:rsidR="00ED264E" w:rsidRPr="00341AF4" w:rsidRDefault="00341AF4" w:rsidP="00ED264E">
      <w:pPr>
        <w:pStyle w:val="Default"/>
        <w:rPr>
          <w:b/>
          <w:bCs/>
          <w:sz w:val="20"/>
          <w:szCs w:val="20"/>
          <w:lang w:val="fr-CA"/>
        </w:rPr>
      </w:pPr>
      <w:r w:rsidRPr="00341AF4">
        <w:rPr>
          <w:b/>
          <w:bCs/>
          <w:sz w:val="20"/>
          <w:szCs w:val="20"/>
          <w:lang w:val="fr-CA"/>
        </w:rPr>
        <w:t>SUBSTANCES MÉDICALES</w:t>
      </w:r>
    </w:p>
    <w:p w14:paraId="31AEEBFF" w14:textId="77777777" w:rsidR="00341AF4" w:rsidRDefault="00341AF4" w:rsidP="00914B01">
      <w:pPr>
        <w:pStyle w:val="Default"/>
        <w:jc w:val="both"/>
        <w:rPr>
          <w:rFonts w:cstheme="minorBidi"/>
          <w:bCs/>
          <w:color w:val="auto"/>
          <w:sz w:val="20"/>
          <w:szCs w:val="20"/>
          <w:lang w:val="fr-CA"/>
        </w:rPr>
      </w:pPr>
      <w:r w:rsidRPr="00341AF4">
        <w:rPr>
          <w:rFonts w:cstheme="minorBidi"/>
          <w:bCs/>
          <w:color w:val="auto"/>
          <w:sz w:val="20"/>
          <w:szCs w:val="20"/>
          <w:lang w:val="fr-CA"/>
        </w:rPr>
        <w:t xml:space="preserve">Les employés doivent informer le [gestionnaire des ressources humaines] lorsqu’ils consomment du cannabis ou toute autre substance pouvant altérer leurs facultés pour des raisons médicales (qu’elle soit inhalée, ingérée, appliquée de façon topique ou autrement). Les employés devront fournir une documentation médicale à leur superviseur afin d’indiquer de quelle manière le médicament peut affecter leur travail (limitations) et quelles mesures d’adaptation pourraient être nécessaires afin de maintenir un environnement de travail sécuritaire et </w:t>
      </w:r>
      <w:r w:rsidRPr="00341AF4">
        <w:rPr>
          <w:rFonts w:cstheme="minorBidi"/>
          <w:bCs/>
          <w:color w:val="auto"/>
          <w:sz w:val="20"/>
          <w:szCs w:val="20"/>
          <w:lang w:val="fr-CA"/>
        </w:rPr>
        <w:lastRenderedPageBreak/>
        <w:t xml:space="preserve">productif. Toute documentation médicale fournie sera conservée de manière confidentielle par le [gestionnaire des ressources humaines], séparément du dossier du personnel de l’employé, et protégée par </w:t>
      </w:r>
    </w:p>
    <w:p w14:paraId="074CA1C3" w14:textId="77777777" w:rsidR="00341AF4" w:rsidRDefault="00341AF4" w:rsidP="00ED264E">
      <w:pPr>
        <w:pStyle w:val="Default"/>
        <w:rPr>
          <w:rFonts w:cstheme="minorBidi"/>
          <w:bCs/>
          <w:color w:val="auto"/>
          <w:sz w:val="20"/>
          <w:szCs w:val="20"/>
          <w:lang w:val="fr-CA"/>
        </w:rPr>
      </w:pPr>
    </w:p>
    <w:p w14:paraId="563B1772" w14:textId="77777777" w:rsidR="00914B01" w:rsidRDefault="00341AF4" w:rsidP="00914B01">
      <w:pPr>
        <w:pStyle w:val="Default"/>
        <w:jc w:val="both"/>
        <w:rPr>
          <w:rFonts w:cstheme="minorBidi"/>
          <w:bCs/>
          <w:color w:val="auto"/>
          <w:sz w:val="20"/>
          <w:szCs w:val="20"/>
          <w:lang w:val="fr-CA"/>
        </w:rPr>
      </w:pPr>
      <w:r w:rsidRPr="00341AF4">
        <w:rPr>
          <w:rFonts w:cstheme="minorBidi"/>
          <w:bCs/>
          <w:color w:val="auto"/>
          <w:sz w:val="20"/>
          <w:szCs w:val="20"/>
          <w:lang w:val="fr-CA"/>
        </w:rPr>
        <w:t xml:space="preserve">des mesures de contrôle d’accès. Un plan d’adaptation pourra ensuite être élaboré avec l’employé conformément à la [Politique d’adaptation ou toute autre politique applicable de l’organisation]; une copie de ce plan sera conservée par le [gestionnaire des ressources humaines]. </w:t>
      </w:r>
    </w:p>
    <w:p w14:paraId="67EF61D2" w14:textId="77777777" w:rsidR="00914B01" w:rsidRDefault="00914B01" w:rsidP="00914B01">
      <w:pPr>
        <w:pStyle w:val="Default"/>
        <w:jc w:val="both"/>
        <w:rPr>
          <w:rFonts w:cstheme="minorBidi"/>
          <w:bCs/>
          <w:color w:val="auto"/>
          <w:sz w:val="20"/>
          <w:szCs w:val="20"/>
          <w:lang w:val="fr-CA"/>
        </w:rPr>
      </w:pPr>
    </w:p>
    <w:p w14:paraId="72DCCBD9" w14:textId="33FF65C1" w:rsidR="00ED264E" w:rsidRPr="00914B01" w:rsidRDefault="00341AF4" w:rsidP="00914B01">
      <w:pPr>
        <w:pStyle w:val="Default"/>
        <w:jc w:val="both"/>
        <w:rPr>
          <w:b/>
          <w:bCs/>
          <w:i/>
          <w:iCs/>
          <w:color w:val="D80100"/>
          <w:sz w:val="20"/>
          <w:szCs w:val="20"/>
          <w:lang w:val="fr-CA"/>
        </w:rPr>
      </w:pPr>
      <w:r w:rsidRPr="00341AF4">
        <w:rPr>
          <w:b/>
          <w:bCs/>
          <w:i/>
          <w:iCs/>
          <w:color w:val="D80100"/>
          <w:sz w:val="20"/>
          <w:szCs w:val="20"/>
          <w:lang w:val="fr-CA"/>
        </w:rPr>
        <w:t xml:space="preserve">REMARQUE : </w:t>
      </w:r>
      <w:r w:rsidRPr="00914B01">
        <w:rPr>
          <w:i/>
          <w:iCs/>
          <w:color w:val="D80100"/>
          <w:sz w:val="20"/>
          <w:szCs w:val="20"/>
          <w:lang w:val="fr-CA"/>
        </w:rPr>
        <w:t>Cette directive doit être conforme à toute politique d’adaptation déjà en vigueur au sein de votre organisation afin d’assurer la cohérence.</w:t>
      </w:r>
    </w:p>
    <w:p w14:paraId="1D057B9E" w14:textId="77777777" w:rsidR="00341AF4" w:rsidRPr="00914B01" w:rsidRDefault="00341AF4" w:rsidP="00ED264E">
      <w:pPr>
        <w:pStyle w:val="Default"/>
        <w:rPr>
          <w:rFonts w:ascii="Times New Roman" w:hAnsi="Times New Roman" w:cs="Times New Roman"/>
          <w:color w:val="791013"/>
          <w:lang w:val="fr-CA"/>
        </w:rPr>
      </w:pPr>
    </w:p>
    <w:p w14:paraId="145BA5AB" w14:textId="18B11CBE" w:rsidR="00ED264E" w:rsidRPr="00492239" w:rsidRDefault="00341AF4" w:rsidP="00ED264E">
      <w:pPr>
        <w:pStyle w:val="Default"/>
        <w:rPr>
          <w:rFonts w:ascii="Open Sans" w:hAnsi="Open Sans" w:cs="Open Sans"/>
          <w:bCs/>
          <w:color w:val="791013"/>
          <w:lang w:val="fr-CA"/>
        </w:rPr>
      </w:pPr>
      <w:r w:rsidRPr="00492239">
        <w:rPr>
          <w:rFonts w:ascii="Open Sans" w:hAnsi="Open Sans" w:cs="Open Sans"/>
          <w:bCs/>
          <w:color w:val="791013"/>
          <w:lang w:val="fr-CA"/>
        </w:rPr>
        <w:t>CONFIDENTIALITÉ</w:t>
      </w:r>
    </w:p>
    <w:p w14:paraId="1A590FE1" w14:textId="77777777" w:rsidR="00341AF4" w:rsidRPr="00341AF4" w:rsidRDefault="00341AF4" w:rsidP="00914B01">
      <w:pPr>
        <w:autoSpaceDE w:val="0"/>
        <w:autoSpaceDN w:val="0"/>
        <w:adjustRightInd w:val="0"/>
        <w:spacing w:after="0" w:line="240" w:lineRule="auto"/>
        <w:jc w:val="both"/>
        <w:rPr>
          <w:rFonts w:ascii="Canva Sans" w:hAnsi="Canva Sans"/>
          <w:bCs/>
          <w:kern w:val="0"/>
          <w:sz w:val="20"/>
          <w:szCs w:val="20"/>
          <w:lang w:val="fr-CA"/>
        </w:rPr>
      </w:pPr>
      <w:r w:rsidRPr="00341AF4">
        <w:rPr>
          <w:rFonts w:ascii="Canva Sans" w:hAnsi="Canva Sans"/>
          <w:bCs/>
          <w:kern w:val="0"/>
          <w:sz w:val="20"/>
          <w:szCs w:val="20"/>
          <w:lang w:val="fr-CA"/>
        </w:rPr>
        <w:t>Toutes les informations médicales seront traitées de manière confidentielle par [NOM DE L’EMPLOYEUR], sauf si leur divulgation est requise par la loi, nécessaire pour l’administration des avantages sociaux, [ou exigée par la CNESST ou organisme équivalent selon la juridiction, le cas échéant].  Les superviseurs ne partageront les renseignements relatifs à la dépendance aux substances qu’avec le [gestionnaire des ressources humaines] et avec toute autre personne autorisée (p. ex. membres de la direction, conseil d’administration, conseil de bande, etc.) qui doivent confirmer des situations d’affaiblissement au travail.</w:t>
      </w:r>
    </w:p>
    <w:p w14:paraId="484D109B" w14:textId="77777777" w:rsidR="00ED264E" w:rsidRPr="00914B01" w:rsidRDefault="00ED264E" w:rsidP="00ED264E">
      <w:pPr>
        <w:autoSpaceDE w:val="0"/>
        <w:autoSpaceDN w:val="0"/>
        <w:adjustRightInd w:val="0"/>
        <w:spacing w:after="0" w:line="240" w:lineRule="auto"/>
        <w:rPr>
          <w:rFonts w:ascii="Times New Roman" w:hAnsi="Times New Roman" w:cs="Times New Roman"/>
          <w:color w:val="000000"/>
          <w:kern w:val="0"/>
          <w:lang w:val="fr-CA"/>
        </w:rPr>
      </w:pPr>
    </w:p>
    <w:p w14:paraId="6CFEA181" w14:textId="77777777" w:rsidR="00341AF4" w:rsidRPr="00492239" w:rsidRDefault="00341AF4" w:rsidP="00341AF4">
      <w:pPr>
        <w:pStyle w:val="Default"/>
        <w:rPr>
          <w:rFonts w:ascii="Open Sans" w:hAnsi="Open Sans" w:cs="Open Sans"/>
          <w:bCs/>
          <w:color w:val="791013"/>
          <w:lang w:val="fr-CA"/>
        </w:rPr>
      </w:pPr>
      <w:r w:rsidRPr="00492239">
        <w:rPr>
          <w:rFonts w:ascii="Open Sans" w:hAnsi="Open Sans" w:cs="Open Sans"/>
          <w:bCs/>
          <w:color w:val="791013"/>
          <w:lang w:val="fr-CA"/>
        </w:rPr>
        <w:t>POLITIQUES ET RESSOURCES PERTINENTES</w:t>
      </w:r>
    </w:p>
    <w:p w14:paraId="0630EAE4" w14:textId="77777777" w:rsidR="00ED264E" w:rsidRDefault="00ED264E" w:rsidP="00ED264E">
      <w:pPr>
        <w:pStyle w:val="Default"/>
        <w:rPr>
          <w:rFonts w:cstheme="minorBidi"/>
          <w:color w:val="auto"/>
        </w:rPr>
      </w:pPr>
    </w:p>
    <w:p w14:paraId="03F0226E"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Cs/>
          <w:kern w:val="0"/>
          <w:sz w:val="20"/>
          <w:szCs w:val="20"/>
          <w:lang w:val="fr-CA"/>
        </w:rPr>
      </w:pPr>
      <w:r w:rsidRPr="00341AF4">
        <w:rPr>
          <w:rFonts w:ascii="Canva Sans" w:hAnsi="Canva Sans"/>
          <w:bCs/>
          <w:kern w:val="0"/>
          <w:sz w:val="20"/>
          <w:szCs w:val="20"/>
          <w:lang w:val="fr-CA"/>
        </w:rPr>
        <w:t>Autres politiques connexes : [Politique en matière de santé et de sécurité, Politique relative aux adaptations, Politique d'accessibilité, Politique pour un lieu de travail sans tabac]</w:t>
      </w:r>
    </w:p>
    <w:p w14:paraId="2E658D1C"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0" w:history="1">
        <w:r w:rsidRPr="00341AF4">
          <w:rPr>
            <w:rStyle w:val="Hyperlink"/>
            <w:rFonts w:ascii="Canva Sans" w:hAnsi="Canva Sans"/>
            <w:b/>
            <w:color w:val="EE0000"/>
            <w:kern w:val="0"/>
            <w:sz w:val="20"/>
            <w:szCs w:val="20"/>
            <w:lang w:val="fr-CA"/>
          </w:rPr>
          <w:t>Santé mentale des Autochtones</w:t>
        </w:r>
      </w:hyperlink>
    </w:p>
    <w:p w14:paraId="08E33907"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1" w:history="1">
        <w:r w:rsidRPr="00341AF4">
          <w:rPr>
            <w:rStyle w:val="Hyperlink"/>
            <w:rFonts w:ascii="Canva Sans" w:hAnsi="Canva Sans"/>
            <w:b/>
            <w:color w:val="EE0000"/>
            <w:kern w:val="0"/>
            <w:sz w:val="20"/>
            <w:szCs w:val="20"/>
            <w:lang w:val="fr-CA"/>
          </w:rPr>
          <w:t>Drogues, alcool et santé et sécurité au travail | ontario.ca</w:t>
        </w:r>
      </w:hyperlink>
    </w:p>
    <w:p w14:paraId="100F6A75"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2" w:history="1">
        <w:r w:rsidRPr="00341AF4">
          <w:rPr>
            <w:rStyle w:val="Hyperlink"/>
            <w:rFonts w:ascii="Canva Sans" w:hAnsi="Canva Sans"/>
            <w:b/>
            <w:color w:val="EE0000"/>
            <w:kern w:val="0"/>
            <w:sz w:val="20"/>
            <w:szCs w:val="20"/>
            <w:lang w:val="fr-CA"/>
          </w:rPr>
          <w:t>Facultés affaiblies en milieu de travail | Commission des normes de l'équité de la santé et de la sécurité du travail - CNESST</w:t>
        </w:r>
      </w:hyperlink>
    </w:p>
    <w:p w14:paraId="3A73C4B9"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3" w:history="1">
        <w:r w:rsidRPr="00341AF4">
          <w:rPr>
            <w:rStyle w:val="Hyperlink"/>
            <w:rFonts w:ascii="Canva Sans" w:hAnsi="Canva Sans"/>
            <w:b/>
            <w:color w:val="EE0000"/>
            <w:kern w:val="0"/>
            <w:sz w:val="20"/>
            <w:szCs w:val="20"/>
            <w:lang w:val="fr-CA"/>
          </w:rPr>
          <w:t>Santé mentale et bien-être - Canada.ca</w:t>
        </w:r>
      </w:hyperlink>
    </w:p>
    <w:p w14:paraId="58566173" w14:textId="77777777" w:rsidR="00ED264E" w:rsidRPr="00914B01" w:rsidRDefault="00ED264E" w:rsidP="00ED264E">
      <w:pPr>
        <w:autoSpaceDE w:val="0"/>
        <w:autoSpaceDN w:val="0"/>
        <w:adjustRightInd w:val="0"/>
        <w:spacing w:after="0" w:line="240" w:lineRule="auto"/>
        <w:rPr>
          <w:rFonts w:ascii="Times New Roman" w:hAnsi="Times New Roman" w:cs="Times New Roman"/>
          <w:color w:val="000000"/>
          <w:kern w:val="0"/>
          <w:lang w:val="fr-CA"/>
        </w:rPr>
      </w:pPr>
    </w:p>
    <w:p w14:paraId="552BC59C" w14:textId="2D3657F8" w:rsidR="00ED264E" w:rsidRPr="00492239" w:rsidRDefault="00341AF4" w:rsidP="00ED264E">
      <w:pPr>
        <w:pStyle w:val="Default"/>
        <w:rPr>
          <w:rFonts w:ascii="Open Sans" w:hAnsi="Open Sans" w:cs="Open Sans"/>
          <w:bCs/>
          <w:color w:val="791013"/>
          <w:lang w:val="fr-CA"/>
        </w:rPr>
      </w:pPr>
      <w:r w:rsidRPr="00492239">
        <w:rPr>
          <w:rFonts w:ascii="Open Sans" w:hAnsi="Open Sans" w:cs="Open Sans"/>
          <w:bCs/>
          <w:color w:val="791013"/>
          <w:lang w:val="fr-CA"/>
        </w:rPr>
        <w:t>ATTESTATION</w:t>
      </w:r>
    </w:p>
    <w:p w14:paraId="36F87897" w14:textId="2052D7DB" w:rsidR="00ED264E" w:rsidRPr="00341AF4" w:rsidRDefault="00341AF4" w:rsidP="00914B01">
      <w:pPr>
        <w:pStyle w:val="Default"/>
        <w:jc w:val="both"/>
        <w:rPr>
          <w:bCs/>
          <w:sz w:val="20"/>
          <w:szCs w:val="20"/>
          <w:lang w:val="fr-CA"/>
        </w:rPr>
      </w:pPr>
      <w:r w:rsidRPr="00341AF4">
        <w:rPr>
          <w:bCs/>
          <w:sz w:val="20"/>
          <w:szCs w:val="20"/>
          <w:lang w:val="fr-CA"/>
        </w:rPr>
        <w:t>Je reconnais avoir lu et compris la politique sur les facultés affaiblies en milieu de travail de [NOM DE L'EMPLOYEUR]. Je m'engage à respecter cette politique et veillerai à ce que les employés placés sous ma responsabilité la respectent également. Je comprends que si j'enfreins les règles énoncées dans cette politique, je m'expose à des poursuites judiciaires ou à des mesures disciplinaires pouvant aller jusqu'au licenciement.</w:t>
      </w:r>
    </w:p>
    <w:p w14:paraId="4FB1FB49" w14:textId="77777777" w:rsidR="00ED264E" w:rsidRPr="00914B01" w:rsidRDefault="00ED264E" w:rsidP="00ED264E">
      <w:pPr>
        <w:autoSpaceDE w:val="0"/>
        <w:autoSpaceDN w:val="0"/>
        <w:adjustRightInd w:val="0"/>
        <w:spacing w:after="0" w:line="240" w:lineRule="auto"/>
        <w:rPr>
          <w:rFonts w:ascii="Times New Roman" w:hAnsi="Times New Roman" w:cs="Times New Roman"/>
          <w:color w:val="000000"/>
          <w:kern w:val="0"/>
          <w:lang w:val="fr-CA"/>
        </w:rPr>
      </w:pPr>
    </w:p>
    <w:tbl>
      <w:tblPr>
        <w:tblW w:w="9695"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695"/>
      </w:tblGrid>
      <w:tr w:rsidR="00ED264E" w:rsidRPr="00ED264E" w14:paraId="3857F523" w14:textId="77777777" w:rsidTr="00914B01">
        <w:trPr>
          <w:trHeight w:val="589"/>
        </w:trPr>
        <w:tc>
          <w:tcPr>
            <w:tcW w:w="9695" w:type="dxa"/>
            <w:tcBorders>
              <w:top w:val="nil"/>
              <w:left w:val="nil"/>
              <w:bottom w:val="single" w:sz="4" w:space="0" w:color="auto"/>
              <w:right w:val="nil"/>
            </w:tcBorders>
          </w:tcPr>
          <w:p w14:paraId="7A01F66F" w14:textId="7F0B239B" w:rsidR="00ED264E" w:rsidRPr="00914B01" w:rsidRDefault="00ED264E" w:rsidP="00ED264E">
            <w:pPr>
              <w:autoSpaceDE w:val="0"/>
              <w:autoSpaceDN w:val="0"/>
              <w:adjustRightInd w:val="0"/>
              <w:spacing w:before="240" w:after="0" w:line="240" w:lineRule="auto"/>
              <w:rPr>
                <w:rFonts w:ascii="Open Sans" w:hAnsi="Open Sans" w:cs="Open Sans"/>
                <w:color w:val="000000"/>
                <w:kern w:val="0"/>
                <w:sz w:val="20"/>
                <w:szCs w:val="20"/>
                <w:lang w:val="en-US"/>
              </w:rPr>
            </w:pPr>
            <w:proofErr w:type="gramStart"/>
            <w:r w:rsidRPr="00914B01">
              <w:rPr>
                <w:rFonts w:ascii="Open Sans" w:hAnsi="Open Sans" w:cs="Open Sans"/>
                <w:color w:val="000000"/>
                <w:kern w:val="0"/>
                <w:sz w:val="20"/>
                <w:szCs w:val="20"/>
                <w:lang w:val="en-US"/>
              </w:rPr>
              <w:t>N</w:t>
            </w:r>
            <w:r w:rsidR="00341AF4" w:rsidRPr="00914B01">
              <w:rPr>
                <w:rFonts w:ascii="Open Sans" w:hAnsi="Open Sans" w:cs="Open Sans"/>
                <w:color w:val="000000"/>
                <w:kern w:val="0"/>
                <w:sz w:val="20"/>
                <w:szCs w:val="20"/>
                <w:lang w:val="en-US"/>
              </w:rPr>
              <w:t>om</w:t>
            </w:r>
            <w:r w:rsidRPr="00914B01">
              <w:rPr>
                <w:rFonts w:ascii="Open Sans" w:hAnsi="Open Sans" w:cs="Open Sans"/>
                <w:color w:val="000000"/>
                <w:kern w:val="0"/>
                <w:sz w:val="20"/>
                <w:szCs w:val="20"/>
                <w:lang w:val="en-US"/>
              </w:rPr>
              <w:t xml:space="preserve"> </w:t>
            </w:r>
            <w:r w:rsidR="00341AF4" w:rsidRPr="00914B01">
              <w:rPr>
                <w:rFonts w:ascii="Open Sans" w:hAnsi="Open Sans" w:cs="Open Sans"/>
                <w:color w:val="000000"/>
                <w:kern w:val="0"/>
                <w:sz w:val="20"/>
                <w:szCs w:val="20"/>
                <w:lang w:val="en-US"/>
              </w:rPr>
              <w:t>:</w:t>
            </w:r>
            <w:proofErr w:type="gramEnd"/>
          </w:p>
        </w:tc>
      </w:tr>
      <w:tr w:rsidR="00ED264E" w:rsidRPr="00ED264E" w14:paraId="193DA25D" w14:textId="77777777" w:rsidTr="00914B01">
        <w:trPr>
          <w:trHeight w:val="589"/>
        </w:trPr>
        <w:tc>
          <w:tcPr>
            <w:tcW w:w="9695" w:type="dxa"/>
            <w:tcBorders>
              <w:top w:val="single" w:sz="4" w:space="0" w:color="auto"/>
              <w:left w:val="nil"/>
              <w:bottom w:val="single" w:sz="4" w:space="0" w:color="auto"/>
              <w:right w:val="nil"/>
            </w:tcBorders>
          </w:tcPr>
          <w:p w14:paraId="21642073" w14:textId="6961F8B4" w:rsidR="00ED264E" w:rsidRPr="00914B01" w:rsidRDefault="00ED264E" w:rsidP="00ED264E">
            <w:pPr>
              <w:autoSpaceDE w:val="0"/>
              <w:autoSpaceDN w:val="0"/>
              <w:adjustRightInd w:val="0"/>
              <w:spacing w:before="240" w:after="0" w:line="240" w:lineRule="auto"/>
              <w:rPr>
                <w:rFonts w:ascii="Open Sans" w:hAnsi="Open Sans" w:cs="Open Sans"/>
                <w:color w:val="000000"/>
                <w:kern w:val="0"/>
                <w:sz w:val="20"/>
                <w:szCs w:val="20"/>
                <w:lang w:val="en-US"/>
              </w:rPr>
            </w:pPr>
            <w:proofErr w:type="gramStart"/>
            <w:r w:rsidRPr="00914B01">
              <w:rPr>
                <w:rFonts w:ascii="Open Sans" w:hAnsi="Open Sans" w:cs="Open Sans"/>
                <w:color w:val="000000"/>
                <w:kern w:val="0"/>
                <w:sz w:val="20"/>
                <w:szCs w:val="20"/>
                <w:lang w:val="en-US"/>
              </w:rPr>
              <w:t xml:space="preserve">Signature </w:t>
            </w:r>
            <w:r w:rsidR="00341AF4" w:rsidRPr="00914B01">
              <w:rPr>
                <w:rFonts w:ascii="Open Sans" w:hAnsi="Open Sans" w:cs="Open Sans"/>
                <w:color w:val="000000"/>
                <w:kern w:val="0"/>
                <w:sz w:val="20"/>
                <w:szCs w:val="20"/>
                <w:lang w:val="en-US"/>
              </w:rPr>
              <w:t>:</w:t>
            </w:r>
            <w:proofErr w:type="gramEnd"/>
          </w:p>
        </w:tc>
      </w:tr>
      <w:tr w:rsidR="00ED264E" w:rsidRPr="00ED264E" w14:paraId="188F7E08" w14:textId="77777777" w:rsidTr="00914B01">
        <w:trPr>
          <w:trHeight w:val="589"/>
        </w:trPr>
        <w:tc>
          <w:tcPr>
            <w:tcW w:w="9695" w:type="dxa"/>
            <w:tcBorders>
              <w:top w:val="single" w:sz="4" w:space="0" w:color="auto"/>
              <w:left w:val="nil"/>
              <w:bottom w:val="single" w:sz="4" w:space="0" w:color="auto"/>
              <w:right w:val="nil"/>
            </w:tcBorders>
          </w:tcPr>
          <w:p w14:paraId="6C8A814E" w14:textId="6E8EF3EB" w:rsidR="00ED264E" w:rsidRPr="00914B01" w:rsidRDefault="00ED264E" w:rsidP="00ED264E">
            <w:pPr>
              <w:autoSpaceDE w:val="0"/>
              <w:autoSpaceDN w:val="0"/>
              <w:adjustRightInd w:val="0"/>
              <w:spacing w:before="240" w:after="0" w:line="240" w:lineRule="auto"/>
              <w:rPr>
                <w:rFonts w:ascii="Open Sans" w:hAnsi="Open Sans" w:cs="Open Sans"/>
                <w:color w:val="000000"/>
                <w:kern w:val="0"/>
                <w:sz w:val="20"/>
                <w:szCs w:val="20"/>
                <w:lang w:val="en-US"/>
              </w:rPr>
            </w:pPr>
            <w:proofErr w:type="gramStart"/>
            <w:r w:rsidRPr="00914B01">
              <w:rPr>
                <w:rFonts w:ascii="Open Sans" w:hAnsi="Open Sans" w:cs="Open Sans"/>
                <w:color w:val="000000"/>
                <w:kern w:val="0"/>
                <w:sz w:val="20"/>
                <w:szCs w:val="20"/>
                <w:lang w:val="en-US"/>
              </w:rPr>
              <w:t xml:space="preserve">Date </w:t>
            </w:r>
            <w:r w:rsidR="00341AF4" w:rsidRPr="00914B01">
              <w:rPr>
                <w:rFonts w:ascii="Open Sans" w:hAnsi="Open Sans" w:cs="Open Sans"/>
                <w:color w:val="000000"/>
                <w:kern w:val="0"/>
                <w:sz w:val="20"/>
                <w:szCs w:val="20"/>
                <w:lang w:val="en-US"/>
              </w:rPr>
              <w:t>:</w:t>
            </w:r>
            <w:proofErr w:type="gramEnd"/>
          </w:p>
        </w:tc>
      </w:tr>
    </w:tbl>
    <w:p w14:paraId="01604950" w14:textId="3E840322" w:rsidR="00341AF4" w:rsidRPr="00341AF4" w:rsidRDefault="00341AF4" w:rsidP="00341AF4">
      <w:pPr>
        <w:tabs>
          <w:tab w:val="left" w:pos="936"/>
        </w:tabs>
        <w:rPr>
          <w:lang w:val="en-US"/>
        </w:rPr>
      </w:pPr>
    </w:p>
    <w:sectPr w:rsidR="00341AF4" w:rsidRPr="00341AF4" w:rsidSect="00E7453A">
      <w:headerReference w:type="default" r:id="rId14"/>
      <w:footerReference w:type="even" r:id="rId15"/>
      <w:footerReference w:type="default" r:id="rId16"/>
      <w:pgSz w:w="12240" w:h="15840"/>
      <w:pgMar w:top="2784" w:right="1440" w:bottom="1442"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DCA06" w14:textId="77777777" w:rsidR="000B0BCF" w:rsidRDefault="000B0BCF" w:rsidP="00B452D9">
      <w:pPr>
        <w:spacing w:after="0" w:line="240" w:lineRule="auto"/>
      </w:pPr>
      <w:r>
        <w:separator/>
      </w:r>
    </w:p>
  </w:endnote>
  <w:endnote w:type="continuationSeparator" w:id="0">
    <w:p w14:paraId="596ABCC3" w14:textId="77777777" w:rsidR="000B0BCF" w:rsidRDefault="000B0BCF" w:rsidP="00B4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nva Sans">
    <w:altName w:val="Calibri"/>
    <w:charset w:val="00"/>
    <w:family w:val="swiss"/>
    <w:pitch w:val="variable"/>
    <w:sig w:usb0="00000043" w:usb1="00000021" w:usb2="00000000" w:usb3="00000000" w:csb0="00000001"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1998755"/>
      <w:docPartObj>
        <w:docPartGallery w:val="Page Numbers (Bottom of Page)"/>
        <w:docPartUnique/>
      </w:docPartObj>
    </w:sdtPr>
    <w:sdtEndPr>
      <w:rPr>
        <w:rStyle w:val="PageNumber"/>
      </w:rPr>
    </w:sdtEndPr>
    <w:sdtContent>
      <w:p w14:paraId="20657CE2" w14:textId="4751EB78" w:rsidR="003245CE" w:rsidRDefault="003245CE" w:rsidP="00DF063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1292F18" w14:textId="77777777" w:rsidR="003245CE" w:rsidRDefault="003245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1792D" w14:textId="4FD578F0" w:rsidR="00765C66" w:rsidRPr="00765C66" w:rsidRDefault="00765C66" w:rsidP="00765C66">
    <w:pPr>
      <w:autoSpaceDE w:val="0"/>
      <w:autoSpaceDN w:val="0"/>
      <w:adjustRightInd w:val="0"/>
      <w:spacing w:after="0" w:line="240" w:lineRule="auto"/>
      <w:rPr>
        <w:rFonts w:ascii="Times New Roman" w:hAnsi="Times New Roman" w:cs="Times New Roman"/>
        <w:color w:val="000000"/>
        <w:kern w:val="0"/>
        <w:lang w:val="en-US"/>
      </w:rPr>
    </w:pPr>
    <w:r w:rsidRPr="00765C66">
      <w:rPr>
        <w:b/>
        <w:bCs/>
        <w:noProof/>
      </w:rPr>
      <w:drawing>
        <wp:anchor distT="0" distB="0" distL="114300" distR="114300" simplePos="0" relativeHeight="251659264" behindDoc="1" locked="0" layoutInCell="1" allowOverlap="1" wp14:anchorId="444E6B93" wp14:editId="0A71638C">
          <wp:simplePos x="0" y="0"/>
          <wp:positionH relativeFrom="column">
            <wp:posOffset>-11358</wp:posOffset>
          </wp:positionH>
          <wp:positionV relativeFrom="paragraph">
            <wp:posOffset>78404</wp:posOffset>
          </wp:positionV>
          <wp:extent cx="1470306" cy="431800"/>
          <wp:effectExtent l="0" t="0" r="0" b="0"/>
          <wp:wrapNone/>
          <wp:docPr id="546709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09075"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470306" cy="431800"/>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b/>
        <w:bCs/>
        <w:sz w:val="20"/>
        <w:szCs w:val="20"/>
      </w:rPr>
      <w:id w:val="2008097831"/>
      <w:docPartObj>
        <w:docPartGallery w:val="Page Numbers (Bottom of Page)"/>
        <w:docPartUnique/>
      </w:docPartObj>
    </w:sdtPr>
    <w:sdtEndPr>
      <w:rPr>
        <w:rStyle w:val="PageNumber"/>
      </w:rPr>
    </w:sdtEndPr>
    <w:sdtContent>
      <w:p w14:paraId="05DF6F5C" w14:textId="77777777" w:rsidR="003245CE" w:rsidRPr="003245CE" w:rsidRDefault="003245CE" w:rsidP="003245CE">
        <w:pPr>
          <w:pStyle w:val="Footer"/>
          <w:framePr w:wrap="none" w:vAnchor="text" w:hAnchor="page" w:x="6061" w:y="27"/>
          <w:rPr>
            <w:rStyle w:val="PageNumber"/>
            <w:b/>
            <w:bCs/>
            <w:sz w:val="20"/>
            <w:szCs w:val="20"/>
          </w:rPr>
        </w:pPr>
        <w:r w:rsidRPr="003245CE">
          <w:rPr>
            <w:rStyle w:val="PageNumber"/>
            <w:b/>
            <w:bCs/>
            <w:sz w:val="20"/>
            <w:szCs w:val="20"/>
          </w:rPr>
          <w:fldChar w:fldCharType="begin"/>
        </w:r>
        <w:r w:rsidRPr="003245CE">
          <w:rPr>
            <w:rStyle w:val="PageNumber"/>
            <w:b/>
            <w:bCs/>
            <w:sz w:val="20"/>
            <w:szCs w:val="20"/>
          </w:rPr>
          <w:instrText xml:space="preserve"> PAGE </w:instrText>
        </w:r>
        <w:r w:rsidRPr="003245CE">
          <w:rPr>
            <w:rStyle w:val="PageNumber"/>
            <w:b/>
            <w:bCs/>
            <w:sz w:val="20"/>
            <w:szCs w:val="20"/>
          </w:rPr>
          <w:fldChar w:fldCharType="separate"/>
        </w:r>
        <w:r w:rsidRPr="003245CE">
          <w:rPr>
            <w:rStyle w:val="PageNumber"/>
            <w:b/>
            <w:bCs/>
            <w:noProof/>
            <w:sz w:val="20"/>
            <w:szCs w:val="20"/>
          </w:rPr>
          <w:t>1</w:t>
        </w:r>
        <w:r w:rsidRPr="003245CE">
          <w:rPr>
            <w:rStyle w:val="PageNumber"/>
            <w:b/>
            <w:bCs/>
            <w:sz w:val="20"/>
            <w:szCs w:val="20"/>
          </w:rPr>
          <w:fldChar w:fldCharType="end"/>
        </w:r>
      </w:p>
    </w:sdtContent>
  </w:sdt>
  <w:p w14:paraId="23A2C7EB" w14:textId="26ACD789" w:rsidR="00765C66" w:rsidRPr="00765C66" w:rsidRDefault="00765C66" w:rsidP="00765C66">
    <w:pPr>
      <w:pStyle w:val="Footer"/>
      <w:jc w:val="right"/>
      <w:rPr>
        <w:b/>
        <w:bCs/>
      </w:rPr>
    </w:pPr>
    <w:r w:rsidRPr="00765C66">
      <w:rPr>
        <w:rFonts w:ascii="Times New Roman" w:hAnsi="Times New Roman" w:cs="Times New Roman"/>
        <w:b/>
        <w:bCs/>
        <w:kern w:val="0"/>
        <w:lang w:val="en-US"/>
      </w:rPr>
      <w:t>AFOA.CA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B98CE" w14:textId="77777777" w:rsidR="000B0BCF" w:rsidRDefault="000B0BCF" w:rsidP="00B452D9">
      <w:pPr>
        <w:spacing w:after="0" w:line="240" w:lineRule="auto"/>
      </w:pPr>
      <w:r>
        <w:separator/>
      </w:r>
    </w:p>
  </w:footnote>
  <w:footnote w:type="continuationSeparator" w:id="0">
    <w:p w14:paraId="0F960C95" w14:textId="77777777" w:rsidR="000B0BCF" w:rsidRDefault="000B0BCF" w:rsidP="00B4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CAB3F" w14:textId="01378B4D" w:rsidR="00B452D9" w:rsidRDefault="00B452D9">
    <w:pPr>
      <w:pStyle w:val="Header"/>
    </w:pPr>
    <w:r>
      <w:rPr>
        <w:noProof/>
      </w:rPr>
      <w:drawing>
        <wp:anchor distT="0" distB="0" distL="114300" distR="114300" simplePos="0" relativeHeight="251658240" behindDoc="1" locked="0" layoutInCell="1" allowOverlap="1" wp14:anchorId="4AE7CA3C" wp14:editId="26314E19">
          <wp:simplePos x="0" y="0"/>
          <wp:positionH relativeFrom="column">
            <wp:posOffset>-929640</wp:posOffset>
          </wp:positionH>
          <wp:positionV relativeFrom="paragraph">
            <wp:posOffset>-443121</wp:posOffset>
          </wp:positionV>
          <wp:extent cx="7772400" cy="1874926"/>
          <wp:effectExtent l="0" t="0" r="0" b="5080"/>
          <wp:wrapNone/>
          <wp:docPr id="78046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6927" name="Picture 78046927"/>
                  <pic:cNvPicPr/>
                </pic:nvPicPr>
                <pic:blipFill rotWithShape="1">
                  <a:blip r:embed="rId1"/>
                  <a:srcRect b="81359"/>
                  <a:stretch>
                    <a:fillRect/>
                  </a:stretch>
                </pic:blipFill>
                <pic:spPr bwMode="auto">
                  <a:xfrm>
                    <a:off x="0" y="0"/>
                    <a:ext cx="7772400" cy="18749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54D99"/>
    <w:multiLevelType w:val="hybridMultilevel"/>
    <w:tmpl w:val="7D98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B76D0A"/>
    <w:multiLevelType w:val="hybridMultilevel"/>
    <w:tmpl w:val="CAE41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F6F81"/>
    <w:multiLevelType w:val="hybridMultilevel"/>
    <w:tmpl w:val="81644C36"/>
    <w:lvl w:ilvl="0" w:tplc="0409000F">
      <w:start w:val="1"/>
      <w:numFmt w:val="decimal"/>
      <w:lvlText w:val="%1."/>
      <w:lvlJc w:val="left"/>
      <w:pPr>
        <w:ind w:left="720" w:hanging="360"/>
      </w:pPr>
    </w:lvl>
    <w:lvl w:ilvl="1" w:tplc="0F6607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107485"/>
    <w:multiLevelType w:val="hybridMultilevel"/>
    <w:tmpl w:val="DF5C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3D2A8E"/>
    <w:multiLevelType w:val="hybridMultilevel"/>
    <w:tmpl w:val="94227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E29C9"/>
    <w:multiLevelType w:val="hybridMultilevel"/>
    <w:tmpl w:val="4F1657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95945"/>
    <w:multiLevelType w:val="hybridMultilevel"/>
    <w:tmpl w:val="CB284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B17164"/>
    <w:multiLevelType w:val="hybridMultilevel"/>
    <w:tmpl w:val="8F005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E5BF2"/>
    <w:multiLevelType w:val="hybridMultilevel"/>
    <w:tmpl w:val="54FC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39360A"/>
    <w:multiLevelType w:val="hybridMultilevel"/>
    <w:tmpl w:val="95C2A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CA7E27"/>
    <w:multiLevelType w:val="hybridMultilevel"/>
    <w:tmpl w:val="D9E4C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DD161C"/>
    <w:multiLevelType w:val="hybridMultilevel"/>
    <w:tmpl w:val="D422D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824F2E"/>
    <w:multiLevelType w:val="hybridMultilevel"/>
    <w:tmpl w:val="AFDC0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A061E"/>
    <w:multiLevelType w:val="hybridMultilevel"/>
    <w:tmpl w:val="CF00F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8948A9"/>
    <w:multiLevelType w:val="hybridMultilevel"/>
    <w:tmpl w:val="612EBC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3B0A79"/>
    <w:multiLevelType w:val="hybridMultilevel"/>
    <w:tmpl w:val="E5126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CD54F7"/>
    <w:multiLevelType w:val="hybridMultilevel"/>
    <w:tmpl w:val="C3760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1B7A8A"/>
    <w:multiLevelType w:val="hybridMultilevel"/>
    <w:tmpl w:val="355EC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386DAC"/>
    <w:multiLevelType w:val="hybridMultilevel"/>
    <w:tmpl w:val="A9AC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5F23DA"/>
    <w:multiLevelType w:val="hybridMultilevel"/>
    <w:tmpl w:val="DFF8EF8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348F0C18"/>
    <w:multiLevelType w:val="hybridMultilevel"/>
    <w:tmpl w:val="5A641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1A5AF2"/>
    <w:multiLevelType w:val="hybridMultilevel"/>
    <w:tmpl w:val="E1EA8878"/>
    <w:lvl w:ilvl="0" w:tplc="CCD6AB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ACC51FE"/>
    <w:multiLevelType w:val="hybridMultilevel"/>
    <w:tmpl w:val="934E8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8667D4"/>
    <w:multiLevelType w:val="hybridMultilevel"/>
    <w:tmpl w:val="41F6E77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5D54E95"/>
    <w:multiLevelType w:val="hybridMultilevel"/>
    <w:tmpl w:val="1A00E6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F142D8"/>
    <w:multiLevelType w:val="hybridMultilevel"/>
    <w:tmpl w:val="3D3A4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B13767"/>
    <w:multiLevelType w:val="hybridMultilevel"/>
    <w:tmpl w:val="72FA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092816"/>
    <w:multiLevelType w:val="hybridMultilevel"/>
    <w:tmpl w:val="0BE6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A729F"/>
    <w:multiLevelType w:val="hybridMultilevel"/>
    <w:tmpl w:val="16B8F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1523D5"/>
    <w:multiLevelType w:val="hybridMultilevel"/>
    <w:tmpl w:val="994C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884FC6"/>
    <w:multiLevelType w:val="hybridMultilevel"/>
    <w:tmpl w:val="4732C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0E324A"/>
    <w:multiLevelType w:val="hybridMultilevel"/>
    <w:tmpl w:val="D9983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B67054"/>
    <w:multiLevelType w:val="hybridMultilevel"/>
    <w:tmpl w:val="1A0C8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33167F"/>
    <w:multiLevelType w:val="hybridMultilevel"/>
    <w:tmpl w:val="566CD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5C51DB"/>
    <w:multiLevelType w:val="hybridMultilevel"/>
    <w:tmpl w:val="2960C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B80A9C"/>
    <w:multiLevelType w:val="hybridMultilevel"/>
    <w:tmpl w:val="F0FECB08"/>
    <w:lvl w:ilvl="0" w:tplc="AA4222DA">
      <w:start w:val="1"/>
      <w:numFmt w:val="bullet"/>
      <w:lvlText w:val=""/>
      <w:lvlJc w:val="left"/>
      <w:pPr>
        <w:ind w:left="720" w:hanging="360"/>
      </w:pPr>
      <w:rPr>
        <w:rFonts w:ascii="Symbol" w:hAnsi="Symbol" w:hint="default"/>
        <w:color w:val="000000" w:themeColor="text1"/>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2BA3AF5"/>
    <w:multiLevelType w:val="hybridMultilevel"/>
    <w:tmpl w:val="258CB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5E2D30"/>
    <w:multiLevelType w:val="hybridMultilevel"/>
    <w:tmpl w:val="7AB6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A45CC3"/>
    <w:multiLevelType w:val="hybridMultilevel"/>
    <w:tmpl w:val="F5CE6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B70E4C"/>
    <w:multiLevelType w:val="hybridMultilevel"/>
    <w:tmpl w:val="5A68CAB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 w15:restartNumberingAfterBreak="0">
    <w:nsid w:val="721E286F"/>
    <w:multiLevelType w:val="hybridMultilevel"/>
    <w:tmpl w:val="BA7E1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882691"/>
    <w:multiLevelType w:val="hybridMultilevel"/>
    <w:tmpl w:val="17EC2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E96853"/>
    <w:multiLevelType w:val="hybridMultilevel"/>
    <w:tmpl w:val="1062E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2E22C1"/>
    <w:multiLevelType w:val="hybridMultilevel"/>
    <w:tmpl w:val="825A42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78D7284E"/>
    <w:multiLevelType w:val="hybridMultilevel"/>
    <w:tmpl w:val="DB32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B82676"/>
    <w:multiLevelType w:val="hybridMultilevel"/>
    <w:tmpl w:val="7780D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0D7792"/>
    <w:multiLevelType w:val="hybridMultilevel"/>
    <w:tmpl w:val="F0D6C422"/>
    <w:lvl w:ilvl="0" w:tplc="0409000F">
      <w:start w:val="1"/>
      <w:numFmt w:val="decimal"/>
      <w:lvlText w:val="%1."/>
      <w:lvlJc w:val="left"/>
      <w:pPr>
        <w:ind w:left="720" w:hanging="360"/>
      </w:pPr>
    </w:lvl>
    <w:lvl w:ilvl="1" w:tplc="0409000F">
      <w:start w:val="1"/>
      <w:numFmt w:val="decimal"/>
      <w:lvlText w:val="%2."/>
      <w:lvlJc w:val="left"/>
      <w:pPr>
        <w:ind w:left="72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D269C9"/>
    <w:multiLevelType w:val="hybridMultilevel"/>
    <w:tmpl w:val="6B06417A"/>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7DA922F2"/>
    <w:multiLevelType w:val="hybridMultilevel"/>
    <w:tmpl w:val="97D07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D2216A"/>
    <w:multiLevelType w:val="hybridMultilevel"/>
    <w:tmpl w:val="119AB132"/>
    <w:lvl w:ilvl="0" w:tplc="10090003">
      <w:start w:val="1"/>
      <w:numFmt w:val="bullet"/>
      <w:lvlText w:val="o"/>
      <w:lvlJc w:val="left"/>
      <w:pPr>
        <w:ind w:left="1080" w:hanging="360"/>
      </w:pPr>
      <w:rPr>
        <w:rFonts w:ascii="Courier New" w:hAnsi="Courier New" w:cs="Courier New"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num w:numId="1" w16cid:durableId="430709585">
    <w:abstractNumId w:val="16"/>
  </w:num>
  <w:num w:numId="2" w16cid:durableId="803044485">
    <w:abstractNumId w:val="43"/>
  </w:num>
  <w:num w:numId="3" w16cid:durableId="1044477536">
    <w:abstractNumId w:val="2"/>
  </w:num>
  <w:num w:numId="4" w16cid:durableId="648704084">
    <w:abstractNumId w:val="8"/>
  </w:num>
  <w:num w:numId="5" w16cid:durableId="1524199236">
    <w:abstractNumId w:val="32"/>
  </w:num>
  <w:num w:numId="6" w16cid:durableId="1199664821">
    <w:abstractNumId w:val="31"/>
  </w:num>
  <w:num w:numId="7" w16cid:durableId="581644848">
    <w:abstractNumId w:val="10"/>
  </w:num>
  <w:num w:numId="8" w16cid:durableId="1226989072">
    <w:abstractNumId w:val="27"/>
  </w:num>
  <w:num w:numId="9" w16cid:durableId="85156215">
    <w:abstractNumId w:val="33"/>
  </w:num>
  <w:num w:numId="10" w16cid:durableId="616374535">
    <w:abstractNumId w:val="24"/>
  </w:num>
  <w:num w:numId="11" w16cid:durableId="1888104893">
    <w:abstractNumId w:val="21"/>
  </w:num>
  <w:num w:numId="12" w16cid:durableId="9257824">
    <w:abstractNumId w:val="41"/>
  </w:num>
  <w:num w:numId="13" w16cid:durableId="1237664865">
    <w:abstractNumId w:val="48"/>
  </w:num>
  <w:num w:numId="14" w16cid:durableId="1499929450">
    <w:abstractNumId w:val="37"/>
  </w:num>
  <w:num w:numId="15" w16cid:durableId="886603129">
    <w:abstractNumId w:val="29"/>
  </w:num>
  <w:num w:numId="16" w16cid:durableId="1279802189">
    <w:abstractNumId w:val="22"/>
  </w:num>
  <w:num w:numId="17" w16cid:durableId="1991473913">
    <w:abstractNumId w:val="4"/>
  </w:num>
  <w:num w:numId="18" w16cid:durableId="1418862629">
    <w:abstractNumId w:val="34"/>
  </w:num>
  <w:num w:numId="19" w16cid:durableId="1821073522">
    <w:abstractNumId w:val="20"/>
  </w:num>
  <w:num w:numId="20" w16cid:durableId="1736388241">
    <w:abstractNumId w:val="13"/>
  </w:num>
  <w:num w:numId="21" w16cid:durableId="2104837861">
    <w:abstractNumId w:val="1"/>
  </w:num>
  <w:num w:numId="22" w16cid:durableId="1198809286">
    <w:abstractNumId w:val="25"/>
  </w:num>
  <w:num w:numId="23" w16cid:durableId="539977831">
    <w:abstractNumId w:val="9"/>
  </w:num>
  <w:num w:numId="24" w16cid:durableId="839739746">
    <w:abstractNumId w:val="12"/>
  </w:num>
  <w:num w:numId="25" w16cid:durableId="1377435841">
    <w:abstractNumId w:val="6"/>
  </w:num>
  <w:num w:numId="26" w16cid:durableId="354380506">
    <w:abstractNumId w:val="7"/>
  </w:num>
  <w:num w:numId="27" w16cid:durableId="1073309675">
    <w:abstractNumId w:val="45"/>
  </w:num>
  <w:num w:numId="28" w16cid:durableId="6372849">
    <w:abstractNumId w:val="42"/>
  </w:num>
  <w:num w:numId="29" w16cid:durableId="345375548">
    <w:abstractNumId w:val="26"/>
  </w:num>
  <w:num w:numId="30" w16cid:durableId="1297951249">
    <w:abstractNumId w:val="44"/>
  </w:num>
  <w:num w:numId="31" w16cid:durableId="1020468742">
    <w:abstractNumId w:val="40"/>
  </w:num>
  <w:num w:numId="32" w16cid:durableId="1413358432">
    <w:abstractNumId w:val="36"/>
  </w:num>
  <w:num w:numId="33" w16cid:durableId="611322536">
    <w:abstractNumId w:val="3"/>
  </w:num>
  <w:num w:numId="34" w16cid:durableId="384180101">
    <w:abstractNumId w:val="38"/>
  </w:num>
  <w:num w:numId="35" w16cid:durableId="1250313830">
    <w:abstractNumId w:val="0"/>
  </w:num>
  <w:num w:numId="36" w16cid:durableId="36707474">
    <w:abstractNumId w:val="28"/>
  </w:num>
  <w:num w:numId="37" w16cid:durableId="446697872">
    <w:abstractNumId w:val="5"/>
  </w:num>
  <w:num w:numId="38" w16cid:durableId="372580656">
    <w:abstractNumId w:val="30"/>
  </w:num>
  <w:num w:numId="39" w16cid:durableId="542253274">
    <w:abstractNumId w:val="11"/>
  </w:num>
  <w:num w:numId="40" w16cid:durableId="1168595023">
    <w:abstractNumId w:val="14"/>
  </w:num>
  <w:num w:numId="41" w16cid:durableId="1554729498">
    <w:abstractNumId w:val="46"/>
  </w:num>
  <w:num w:numId="42" w16cid:durableId="1235430887">
    <w:abstractNumId w:val="17"/>
  </w:num>
  <w:num w:numId="43" w16cid:durableId="956789591">
    <w:abstractNumId w:val="15"/>
  </w:num>
  <w:num w:numId="44" w16cid:durableId="1355302153">
    <w:abstractNumId w:val="19"/>
  </w:num>
  <w:num w:numId="45" w16cid:durableId="1704018892">
    <w:abstractNumId w:val="18"/>
  </w:num>
  <w:num w:numId="46" w16cid:durableId="960115886">
    <w:abstractNumId w:val="23"/>
  </w:num>
  <w:num w:numId="47" w16cid:durableId="1367484077">
    <w:abstractNumId w:val="39"/>
  </w:num>
  <w:num w:numId="48" w16cid:durableId="128209111">
    <w:abstractNumId w:val="49"/>
  </w:num>
  <w:num w:numId="49" w16cid:durableId="206794722">
    <w:abstractNumId w:val="47"/>
  </w:num>
  <w:num w:numId="50" w16cid:durableId="64678254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2D9"/>
    <w:rsid w:val="00050475"/>
    <w:rsid w:val="0007214C"/>
    <w:rsid w:val="000B0BCF"/>
    <w:rsid w:val="000E2A22"/>
    <w:rsid w:val="000E6278"/>
    <w:rsid w:val="00131527"/>
    <w:rsid w:val="001814BF"/>
    <w:rsid w:val="001A62A0"/>
    <w:rsid w:val="002F28E7"/>
    <w:rsid w:val="003245CE"/>
    <w:rsid w:val="003267C3"/>
    <w:rsid w:val="00337699"/>
    <w:rsid w:val="00341AF4"/>
    <w:rsid w:val="00394B1B"/>
    <w:rsid w:val="00402056"/>
    <w:rsid w:val="00443560"/>
    <w:rsid w:val="00492239"/>
    <w:rsid w:val="005F2A23"/>
    <w:rsid w:val="006D4C45"/>
    <w:rsid w:val="0072352D"/>
    <w:rsid w:val="00765C66"/>
    <w:rsid w:val="00860351"/>
    <w:rsid w:val="00901BAE"/>
    <w:rsid w:val="00914B01"/>
    <w:rsid w:val="009F550D"/>
    <w:rsid w:val="00A720B6"/>
    <w:rsid w:val="00B452D9"/>
    <w:rsid w:val="00B50D5A"/>
    <w:rsid w:val="00BA4230"/>
    <w:rsid w:val="00C41205"/>
    <w:rsid w:val="00C56F11"/>
    <w:rsid w:val="00C862DC"/>
    <w:rsid w:val="00C93E63"/>
    <w:rsid w:val="00CA7786"/>
    <w:rsid w:val="00D23960"/>
    <w:rsid w:val="00DA081A"/>
    <w:rsid w:val="00E34302"/>
    <w:rsid w:val="00E7453A"/>
    <w:rsid w:val="00EA7025"/>
    <w:rsid w:val="00EC1DF1"/>
    <w:rsid w:val="00ED264E"/>
    <w:rsid w:val="00F8308A"/>
    <w:rsid w:val="00FA64E0"/>
    <w:rsid w:val="00FB635F"/>
    <w:rsid w:val="00FE6F6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F7386B"/>
  <w15:chartTrackingRefBased/>
  <w15:docId w15:val="{27B5FB57-FB64-7D42-BD9A-61632C3C8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52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452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52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52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52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52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52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52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52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52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452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52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52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52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52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52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52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52D9"/>
    <w:rPr>
      <w:rFonts w:eastAsiaTheme="majorEastAsia" w:cstheme="majorBidi"/>
      <w:color w:val="272727" w:themeColor="text1" w:themeTint="D8"/>
    </w:rPr>
  </w:style>
  <w:style w:type="paragraph" w:styleId="Title">
    <w:name w:val="Title"/>
    <w:basedOn w:val="Normal"/>
    <w:next w:val="Normal"/>
    <w:link w:val="TitleChar"/>
    <w:uiPriority w:val="10"/>
    <w:qFormat/>
    <w:rsid w:val="00B45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52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52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52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52D9"/>
    <w:pPr>
      <w:spacing w:before="160"/>
      <w:jc w:val="center"/>
    </w:pPr>
    <w:rPr>
      <w:i/>
      <w:iCs/>
      <w:color w:val="404040" w:themeColor="text1" w:themeTint="BF"/>
    </w:rPr>
  </w:style>
  <w:style w:type="character" w:customStyle="1" w:styleId="QuoteChar">
    <w:name w:val="Quote Char"/>
    <w:basedOn w:val="DefaultParagraphFont"/>
    <w:link w:val="Quote"/>
    <w:uiPriority w:val="29"/>
    <w:rsid w:val="00B452D9"/>
    <w:rPr>
      <w:i/>
      <w:iCs/>
      <w:color w:val="404040" w:themeColor="text1" w:themeTint="BF"/>
    </w:rPr>
  </w:style>
  <w:style w:type="paragraph" w:styleId="ListParagraph">
    <w:name w:val="List Paragraph"/>
    <w:basedOn w:val="Normal"/>
    <w:uiPriority w:val="34"/>
    <w:qFormat/>
    <w:rsid w:val="00B452D9"/>
    <w:pPr>
      <w:ind w:left="720"/>
      <w:contextualSpacing/>
    </w:pPr>
  </w:style>
  <w:style w:type="character" w:styleId="IntenseEmphasis">
    <w:name w:val="Intense Emphasis"/>
    <w:basedOn w:val="DefaultParagraphFont"/>
    <w:uiPriority w:val="21"/>
    <w:qFormat/>
    <w:rsid w:val="00B452D9"/>
    <w:rPr>
      <w:i/>
      <w:iCs/>
      <w:color w:val="0F4761" w:themeColor="accent1" w:themeShade="BF"/>
    </w:rPr>
  </w:style>
  <w:style w:type="paragraph" w:styleId="IntenseQuote">
    <w:name w:val="Intense Quote"/>
    <w:basedOn w:val="Normal"/>
    <w:next w:val="Normal"/>
    <w:link w:val="IntenseQuoteChar"/>
    <w:uiPriority w:val="30"/>
    <w:qFormat/>
    <w:rsid w:val="00B452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52D9"/>
    <w:rPr>
      <w:i/>
      <w:iCs/>
      <w:color w:val="0F4761" w:themeColor="accent1" w:themeShade="BF"/>
    </w:rPr>
  </w:style>
  <w:style w:type="character" w:styleId="IntenseReference">
    <w:name w:val="Intense Reference"/>
    <w:basedOn w:val="DefaultParagraphFont"/>
    <w:uiPriority w:val="32"/>
    <w:qFormat/>
    <w:rsid w:val="00B452D9"/>
    <w:rPr>
      <w:b/>
      <w:bCs/>
      <w:smallCaps/>
      <w:color w:val="0F4761" w:themeColor="accent1" w:themeShade="BF"/>
      <w:spacing w:val="5"/>
    </w:rPr>
  </w:style>
  <w:style w:type="paragraph" w:customStyle="1" w:styleId="Default">
    <w:name w:val="Default"/>
    <w:rsid w:val="00B452D9"/>
    <w:pPr>
      <w:autoSpaceDE w:val="0"/>
      <w:autoSpaceDN w:val="0"/>
      <w:adjustRightInd w:val="0"/>
      <w:spacing w:after="0" w:line="240" w:lineRule="auto"/>
    </w:pPr>
    <w:rPr>
      <w:rFonts w:ascii="Canva Sans" w:hAnsi="Canva Sans" w:cs="Canva Sans"/>
      <w:color w:val="000000"/>
      <w:kern w:val="0"/>
      <w:lang w:val="en-US"/>
    </w:rPr>
  </w:style>
  <w:style w:type="paragraph" w:styleId="NoSpacing">
    <w:name w:val="No Spacing"/>
    <w:link w:val="NoSpacingChar"/>
    <w:uiPriority w:val="1"/>
    <w:qFormat/>
    <w:rsid w:val="00B452D9"/>
    <w:pPr>
      <w:spacing w:after="0" w:line="240" w:lineRule="auto"/>
    </w:pPr>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B452D9"/>
    <w:rPr>
      <w:rFonts w:eastAsiaTheme="minorEastAsia"/>
      <w:kern w:val="0"/>
      <w:sz w:val="22"/>
      <w:szCs w:val="22"/>
      <w:lang w:val="en-US" w:eastAsia="zh-CN"/>
      <w14:ligatures w14:val="none"/>
    </w:rPr>
  </w:style>
  <w:style w:type="paragraph" w:styleId="Header">
    <w:name w:val="header"/>
    <w:basedOn w:val="Normal"/>
    <w:link w:val="HeaderChar"/>
    <w:uiPriority w:val="99"/>
    <w:unhideWhenUsed/>
    <w:rsid w:val="00B452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2D9"/>
  </w:style>
  <w:style w:type="paragraph" w:styleId="Footer">
    <w:name w:val="footer"/>
    <w:basedOn w:val="Normal"/>
    <w:link w:val="FooterChar"/>
    <w:uiPriority w:val="99"/>
    <w:unhideWhenUsed/>
    <w:rsid w:val="00B452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2D9"/>
  </w:style>
  <w:style w:type="character" w:styleId="PageNumber">
    <w:name w:val="page number"/>
    <w:basedOn w:val="DefaultParagraphFont"/>
    <w:uiPriority w:val="99"/>
    <w:semiHidden/>
    <w:unhideWhenUsed/>
    <w:rsid w:val="003245CE"/>
  </w:style>
  <w:style w:type="character" w:styleId="Hyperlink">
    <w:name w:val="Hyperlink"/>
    <w:basedOn w:val="DefaultParagraphFont"/>
    <w:uiPriority w:val="99"/>
    <w:unhideWhenUsed/>
    <w:rsid w:val="00ED264E"/>
    <w:rPr>
      <w:color w:val="467886" w:themeColor="hyperlink"/>
      <w:u w:val="single"/>
    </w:rPr>
  </w:style>
  <w:style w:type="character" w:styleId="UnresolvedMention">
    <w:name w:val="Unresolved Mention"/>
    <w:basedOn w:val="DefaultParagraphFont"/>
    <w:uiPriority w:val="99"/>
    <w:semiHidden/>
    <w:unhideWhenUsed/>
    <w:rsid w:val="00ED264E"/>
    <w:rPr>
      <w:color w:val="605E5C"/>
      <w:shd w:val="clear" w:color="auto" w:fill="E1DFDD"/>
    </w:rPr>
  </w:style>
  <w:style w:type="character" w:styleId="FollowedHyperlink">
    <w:name w:val="FollowedHyperlink"/>
    <w:basedOn w:val="DefaultParagraphFont"/>
    <w:uiPriority w:val="99"/>
    <w:semiHidden/>
    <w:unhideWhenUsed/>
    <w:rsid w:val="00341AF4"/>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nada.ca/fr/sante-publique/services/services-sante-mentale/sante-mentale-obtenir-aide.html" TargetMode="External"/><Relationship Id="rId13" Type="http://schemas.openxmlformats.org/officeDocument/2006/relationships/hyperlink" Target="https://www.canada.ca/fr/sante-publique/sujets/sante-mentale-et-bien-etre.html"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cnesst.gouv.qc.ca/fr/prevention-securite/identifier-corriger-risques/liste-informations-prevention/facultes-affaiblies-en-milieu-travail"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ontario.ca/fr/page/drogues-alcool-et-sante-et-securite-au-travail"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sac-isc.gc.ca/fra/1576088923626/1576088963494" TargetMode="External"/><Relationship Id="rId4" Type="http://schemas.openxmlformats.org/officeDocument/2006/relationships/webSettings" Target="webSettings.xml"/><Relationship Id="rId9" Type="http://schemas.openxmlformats.org/officeDocument/2006/relationships/hyperlink" Target="https://laws-lois.justice.gc.ca/fra/lois/l-2/page-14.html"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7</TotalTime>
  <Pages>6</Pages>
  <Words>2387</Words>
  <Characters>13608</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Angelina Castellano</dc:creator>
  <cp:keywords/>
  <dc:description/>
  <cp:lastModifiedBy>Shannon Goedike</cp:lastModifiedBy>
  <cp:revision>4</cp:revision>
  <dcterms:created xsi:type="dcterms:W3CDTF">2026-08-15T20:25:00Z</dcterms:created>
  <dcterms:modified xsi:type="dcterms:W3CDTF">2026-08-15T20:31:00Z</dcterms:modified>
</cp:coreProperties>
</file>